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40" w:lineRule="auto"/>
        <w:ind w:firstLine="0" w:firstLineChars="0"/>
        <w:jc w:val="center"/>
        <w:rPr>
          <w:rFonts w:hint="eastAsia" w:ascii="华文中宋" w:hAnsi="华文中宋" w:eastAsia="华文中宋" w:cs="仿宋"/>
          <w:color w:val="000000" w:themeColor="text1"/>
          <w:sz w:val="44"/>
          <w:szCs w:val="44"/>
          <w14:textFill>
            <w14:solidFill>
              <w14:schemeClr w14:val="tx1"/>
            </w14:solidFill>
          </w14:textFill>
        </w:rPr>
      </w:pPr>
      <w:bookmarkStart w:id="0" w:name="_Toc7172"/>
      <w:r>
        <w:rPr>
          <w:rFonts w:hint="eastAsia" w:ascii="华文中宋" w:hAnsi="华文中宋" w:eastAsia="华文中宋" w:cs="仿宋"/>
          <w:color w:val="000000" w:themeColor="text1"/>
          <w:sz w:val="44"/>
          <w:szCs w:val="44"/>
          <w14:textFill>
            <w14:solidFill>
              <w14:schemeClr w14:val="tx1"/>
            </w14:solidFill>
          </w14:textFill>
        </w:rPr>
        <w:t>海安市推进法律法规全面有效实施管理</w:t>
      </w:r>
    </w:p>
    <w:p>
      <w:pPr>
        <w:widowControl/>
        <w:snapToGrid w:val="0"/>
        <w:spacing w:line="240" w:lineRule="auto"/>
        <w:ind w:firstLine="0" w:firstLineChars="0"/>
        <w:jc w:val="center"/>
        <w:rPr>
          <w:rFonts w:ascii="华文中宋" w:hAnsi="华文中宋" w:eastAsia="华文中宋" w:cs="仿宋"/>
          <w:color w:val="000000" w:themeColor="text1"/>
          <w:sz w:val="44"/>
          <w:szCs w:val="44"/>
          <w14:textFill>
            <w14:solidFill>
              <w14:schemeClr w14:val="tx1"/>
            </w14:solidFill>
          </w14:textFill>
        </w:rPr>
      </w:pPr>
      <w:r>
        <w:rPr>
          <w:rFonts w:hint="eastAsia" w:ascii="华文中宋" w:hAnsi="华文中宋" w:eastAsia="华文中宋" w:cs="仿宋"/>
          <w:color w:val="000000" w:themeColor="text1"/>
          <w:sz w:val="44"/>
          <w:szCs w:val="44"/>
          <w14:textFill>
            <w14:solidFill>
              <w14:schemeClr w14:val="tx1"/>
            </w14:solidFill>
          </w14:textFill>
        </w:rPr>
        <w:t>系统采购</w:t>
      </w:r>
      <w:r>
        <w:rPr>
          <w:rFonts w:hint="eastAsia" w:ascii="华文中宋" w:hAnsi="华文中宋" w:eastAsia="华文中宋" w:cs="仿宋"/>
          <w:color w:val="000000" w:themeColor="text1"/>
          <w:sz w:val="44"/>
          <w:szCs w:val="44"/>
          <w:lang w:eastAsia="zh-CN"/>
          <w14:textFill>
            <w14:solidFill>
              <w14:schemeClr w14:val="tx1"/>
            </w14:solidFill>
          </w14:textFill>
        </w:rPr>
        <w:t>竞价</w:t>
      </w:r>
      <w:r>
        <w:rPr>
          <w:rFonts w:hint="eastAsia" w:ascii="华文中宋" w:hAnsi="华文中宋" w:eastAsia="华文中宋" w:cs="仿宋"/>
          <w:color w:val="000000" w:themeColor="text1"/>
          <w:sz w:val="44"/>
          <w:szCs w:val="44"/>
          <w14:textFill>
            <w14:solidFill>
              <w14:schemeClr w14:val="tx1"/>
            </w14:solidFill>
          </w14:textFill>
        </w:rPr>
        <w:t>公告</w:t>
      </w:r>
    </w:p>
    <w:p>
      <w:pPr>
        <w:pStyle w:val="13"/>
        <w:spacing w:line="520" w:lineRule="exact"/>
        <w:ind w:firstLine="640"/>
        <w:rPr>
          <w:rFonts w:ascii="仿宋_GB2312" w:hAnsi="仿宋" w:eastAsia="仿宋_GB2312" w:cs="仿宋"/>
          <w:color w:val="000000" w:themeColor="text1"/>
          <w:sz w:val="32"/>
          <w:szCs w:val="32"/>
          <w14:textFill>
            <w14:solidFill>
              <w14:schemeClr w14:val="tx1"/>
            </w14:solidFill>
          </w14:textFill>
        </w:rPr>
      </w:pPr>
      <w:bookmarkStart w:id="1" w:name="_Toc24248"/>
    </w:p>
    <w:p>
      <w:pPr>
        <w:adjustRightInd/>
        <w:snapToGrid w:val="0"/>
        <w:spacing w:line="360" w:lineRule="auto"/>
        <w:ind w:left="0" w:leftChars="0" w:firstLine="0" w:firstLineChars="0"/>
        <w:jc w:val="center"/>
        <w:outlineLvl w:val="0"/>
        <w:rPr>
          <w:rFonts w:hint="eastAsia" w:ascii="仿宋" w:hAnsi="仿宋" w:eastAsia="仿宋" w:cs="宋体"/>
          <w:b/>
          <w:sz w:val="36"/>
          <w:szCs w:val="30"/>
          <w:lang w:val="en-US" w:eastAsia="zh-CN"/>
        </w:rPr>
      </w:pPr>
      <w:r>
        <w:rPr>
          <w:rFonts w:hint="eastAsia" w:ascii="仿宋" w:hAnsi="仿宋" w:eastAsia="仿宋" w:cs="宋体"/>
          <w:b/>
          <w:sz w:val="36"/>
          <w:szCs w:val="30"/>
        </w:rPr>
        <w:t>第一部分  竞价公告</w:t>
      </w:r>
    </w:p>
    <w:p>
      <w:pPr>
        <w:overflowPunct/>
        <w:spacing w:line="460" w:lineRule="exact"/>
        <w:ind w:firstLine="560" w:firstLineChars="200"/>
        <w:rPr>
          <w:rFonts w:hint="eastAsia" w:ascii="仿宋" w:hAnsi="仿宋" w:eastAsia="仿宋" w:cs="宋体"/>
          <w:sz w:val="28"/>
          <w:szCs w:val="28"/>
          <w:lang w:val="zh-CN"/>
        </w:rPr>
      </w:pPr>
      <w:r>
        <w:rPr>
          <w:rFonts w:hint="eastAsia" w:ascii="仿宋" w:hAnsi="仿宋" w:eastAsia="仿宋" w:cs="宋体"/>
          <w:sz w:val="28"/>
          <w:szCs w:val="28"/>
          <w:lang w:val="en-US" w:eastAsia="zh-CN"/>
        </w:rPr>
        <w:t>习近平总书记指出，地方各级人大及其常委会要依法行使职权，保证宪法法律在本行政区域内得到遵守和执行，自觉维护国家法治统一。推进宪法法律法规的全面有效实施，充分发挥法治固根本、稳预期、利长远的重要作用，才能保证国家治理体系和治理能力现代化在法治轨道上有序顺利推进。</w:t>
      </w:r>
      <w:r>
        <w:rPr>
          <w:rFonts w:hint="eastAsia" w:ascii="仿宋" w:hAnsi="仿宋" w:eastAsia="仿宋" w:cs="宋体"/>
          <w:sz w:val="28"/>
          <w:szCs w:val="28"/>
          <w:lang w:val="zh-CN"/>
        </w:rPr>
        <w:t>拟对海安市推进法律法规全面有效实施管理系统项目采用</w:t>
      </w:r>
      <w:r>
        <w:rPr>
          <w:rFonts w:hint="eastAsia" w:ascii="仿宋" w:hAnsi="仿宋" w:eastAsia="仿宋" w:cs="宋体"/>
          <w:sz w:val="28"/>
          <w:szCs w:val="28"/>
          <w:lang w:val="zh-CN" w:eastAsia="zh-CN"/>
        </w:rPr>
        <w:t>竞价方式</w:t>
      </w:r>
      <w:r>
        <w:rPr>
          <w:rFonts w:hint="eastAsia" w:ascii="仿宋" w:hAnsi="仿宋" w:eastAsia="仿宋" w:cs="宋体"/>
          <w:sz w:val="28"/>
          <w:szCs w:val="28"/>
          <w:lang w:val="zh-CN"/>
        </w:rPr>
        <w:t>进行采购，诚邀符合资格条件的供应商参与</w:t>
      </w:r>
      <w:r>
        <w:rPr>
          <w:rFonts w:hint="eastAsia" w:ascii="仿宋" w:hAnsi="仿宋" w:eastAsia="仿宋" w:cs="宋体"/>
          <w:sz w:val="28"/>
          <w:szCs w:val="28"/>
          <w:lang w:val="zh-CN" w:eastAsia="zh-CN"/>
        </w:rPr>
        <w:t>竞价</w:t>
      </w:r>
      <w:r>
        <w:rPr>
          <w:rFonts w:hint="eastAsia" w:ascii="仿宋" w:hAnsi="仿宋" w:eastAsia="仿宋" w:cs="宋体"/>
          <w:sz w:val="28"/>
          <w:szCs w:val="28"/>
          <w:lang w:val="zh-CN"/>
        </w:rPr>
        <w:t>。</w:t>
      </w:r>
    </w:p>
    <w:p>
      <w:pPr>
        <w:pStyle w:val="2"/>
        <w:spacing w:line="460" w:lineRule="exact"/>
        <w:ind w:firstLine="560" w:firstLineChars="200"/>
        <w:rPr>
          <w:rFonts w:ascii="黑体" w:hAnsi="黑体" w:eastAsia="黑体"/>
          <w:sz w:val="28"/>
          <w:szCs w:val="28"/>
          <w:lang w:eastAsia="zh-CN"/>
        </w:rPr>
      </w:pPr>
      <w:bookmarkStart w:id="2" w:name="_Toc28359089"/>
      <w:bookmarkStart w:id="3" w:name="_Toc28359012"/>
      <w:bookmarkStart w:id="4" w:name="_Toc35393798"/>
      <w:bookmarkStart w:id="5" w:name="_Toc35393629"/>
      <w:r>
        <w:rPr>
          <w:rFonts w:hint="eastAsia" w:ascii="黑体" w:hAnsi="黑体" w:eastAsia="黑体"/>
          <w:sz w:val="28"/>
          <w:szCs w:val="28"/>
          <w:lang w:eastAsia="zh-CN"/>
        </w:rPr>
        <w:t>一、项目基本情况</w:t>
      </w:r>
      <w:bookmarkEnd w:id="2"/>
      <w:bookmarkEnd w:id="3"/>
      <w:bookmarkEnd w:id="4"/>
      <w:bookmarkEnd w:id="5"/>
    </w:p>
    <w:p>
      <w:pPr>
        <w:snapToGrid w:val="0"/>
        <w:spacing w:line="300" w:lineRule="auto"/>
        <w:ind w:firstLine="560" w:firstLineChars="200"/>
        <w:rPr>
          <w:rFonts w:hint="eastAsia" w:ascii="仿宋" w:hAnsi="仿宋" w:eastAsia="仿宋"/>
          <w:szCs w:val="32"/>
        </w:rPr>
      </w:pPr>
      <w:r>
        <w:rPr>
          <w:rFonts w:hint="eastAsia" w:ascii="仿宋" w:hAnsi="仿宋" w:eastAsia="仿宋"/>
          <w:szCs w:val="32"/>
        </w:rPr>
        <w:t>项目名称：</w:t>
      </w:r>
      <w:r>
        <w:rPr>
          <w:rFonts w:hint="eastAsia" w:ascii="仿宋" w:hAnsi="仿宋" w:eastAsia="仿宋"/>
          <w:szCs w:val="32"/>
          <w:lang w:val="en-US" w:eastAsia="zh-CN"/>
        </w:rPr>
        <w:t>海安市推进法律法规全面有效实施管理系统</w:t>
      </w:r>
      <w:r>
        <w:rPr>
          <w:rFonts w:hint="eastAsia" w:ascii="仿宋" w:hAnsi="仿宋" w:eastAsia="仿宋"/>
          <w:szCs w:val="32"/>
        </w:rPr>
        <w:t>；</w:t>
      </w:r>
    </w:p>
    <w:p>
      <w:pPr>
        <w:snapToGrid w:val="0"/>
        <w:spacing w:line="300" w:lineRule="auto"/>
        <w:ind w:firstLine="560" w:firstLineChars="200"/>
        <w:rPr>
          <w:rFonts w:hint="eastAsia" w:ascii="仿宋" w:hAnsi="仿宋" w:eastAsia="仿宋"/>
          <w:szCs w:val="32"/>
        </w:rPr>
      </w:pPr>
      <w:r>
        <w:rPr>
          <w:rFonts w:hint="eastAsia" w:ascii="仿宋" w:hAnsi="仿宋" w:eastAsia="仿宋"/>
          <w:szCs w:val="32"/>
        </w:rPr>
        <w:t>采购方式：竞</w:t>
      </w:r>
      <w:r>
        <w:rPr>
          <w:rFonts w:hint="eastAsia" w:ascii="仿宋" w:hAnsi="仿宋" w:eastAsia="仿宋"/>
          <w:szCs w:val="32"/>
          <w:lang w:eastAsia="zh-CN"/>
        </w:rPr>
        <w:t>价</w:t>
      </w:r>
      <w:r>
        <w:rPr>
          <w:rFonts w:hint="eastAsia" w:ascii="仿宋" w:hAnsi="仿宋" w:eastAsia="仿宋"/>
          <w:szCs w:val="32"/>
        </w:rPr>
        <w:t>；</w:t>
      </w:r>
    </w:p>
    <w:p>
      <w:pPr>
        <w:snapToGrid w:val="0"/>
        <w:spacing w:line="300" w:lineRule="auto"/>
        <w:ind w:firstLine="560" w:firstLineChars="200"/>
        <w:rPr>
          <w:rFonts w:hint="eastAsia" w:ascii="仿宋" w:hAnsi="仿宋" w:eastAsia="仿宋"/>
          <w:szCs w:val="32"/>
        </w:rPr>
      </w:pPr>
      <w:r>
        <w:rPr>
          <w:rFonts w:hint="eastAsia" w:ascii="仿宋" w:hAnsi="仿宋" w:eastAsia="仿宋"/>
          <w:szCs w:val="32"/>
        </w:rPr>
        <w:t>最高限价：</w:t>
      </w:r>
      <w:r>
        <w:rPr>
          <w:rFonts w:hint="eastAsia" w:ascii="仿宋" w:hAnsi="仿宋" w:eastAsia="仿宋"/>
          <w:szCs w:val="32"/>
          <w:lang w:val="en-US" w:eastAsia="zh-CN"/>
        </w:rPr>
        <w:t>16.5万元（</w:t>
      </w:r>
      <w:r>
        <w:rPr>
          <w:rFonts w:hint="eastAsia" w:ascii="仿宋" w:hAnsi="仿宋"/>
          <w:szCs w:val="32"/>
          <w:lang w:val="en-US" w:eastAsia="zh-CN"/>
        </w:rPr>
        <w:t>含</w:t>
      </w:r>
      <w:r>
        <w:rPr>
          <w:rFonts w:hint="eastAsia" w:ascii="仿宋" w:hAnsi="仿宋" w:eastAsia="仿宋"/>
          <w:szCs w:val="32"/>
          <w:lang w:val="en-US" w:eastAsia="zh-CN"/>
        </w:rPr>
        <w:t>三年运维费</w:t>
      </w:r>
      <w:r>
        <w:rPr>
          <w:rFonts w:hint="eastAsia" w:ascii="仿宋" w:hAnsi="仿宋"/>
          <w:szCs w:val="32"/>
          <w:lang w:val="en-US" w:eastAsia="zh-CN"/>
        </w:rPr>
        <w:t>）</w:t>
      </w:r>
      <w:r>
        <w:rPr>
          <w:rFonts w:hint="eastAsia" w:ascii="仿宋" w:hAnsi="仿宋" w:eastAsia="仿宋"/>
          <w:szCs w:val="32"/>
        </w:rPr>
        <w:t>；</w:t>
      </w:r>
    </w:p>
    <w:p>
      <w:pPr>
        <w:overflowPunct/>
        <w:spacing w:line="460" w:lineRule="exact"/>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cs="仿宋_GB2312"/>
          <w:sz w:val="28"/>
          <w:szCs w:val="28"/>
          <w:lang w:bidi="ar"/>
        </w:rPr>
        <w:t>具体详见竞价文件项目需求；</w:t>
      </w:r>
    </w:p>
    <w:p>
      <w:pPr>
        <w:overflowPunct/>
        <w:spacing w:line="460" w:lineRule="exact"/>
        <w:ind w:firstLine="560" w:firstLineChars="200"/>
        <w:rPr>
          <w:rFonts w:hint="eastAsia" w:ascii="仿宋" w:hAnsi="仿宋" w:eastAsia="仿宋" w:cs="宋体"/>
          <w:sz w:val="28"/>
          <w:szCs w:val="28"/>
          <w:lang w:val="zh-CN"/>
        </w:rPr>
      </w:pPr>
      <w:r>
        <w:rPr>
          <w:rFonts w:hint="eastAsia" w:ascii="仿宋" w:hAnsi="仿宋" w:eastAsia="仿宋"/>
          <w:sz w:val="28"/>
          <w:szCs w:val="28"/>
        </w:rPr>
        <w:t>合同履行期限：</w:t>
      </w:r>
      <w:r>
        <w:rPr>
          <w:rFonts w:hint="eastAsia" w:ascii="仿宋" w:hAnsi="仿宋" w:eastAsia="仿宋" w:cs="宋体"/>
          <w:sz w:val="28"/>
          <w:szCs w:val="28"/>
          <w:lang w:val="zh-CN"/>
        </w:rPr>
        <w:t>竞价</w:t>
      </w:r>
      <w:r>
        <w:rPr>
          <w:rFonts w:hint="eastAsia" w:ascii="仿宋" w:hAnsi="仿宋" w:cs="宋体"/>
          <w:sz w:val="28"/>
          <w:szCs w:val="28"/>
          <w:lang w:val="zh-CN" w:eastAsia="zh-CN"/>
        </w:rPr>
        <w:t>结果公示</w:t>
      </w:r>
      <w:r>
        <w:rPr>
          <w:rFonts w:hint="eastAsia" w:ascii="仿宋" w:hAnsi="仿宋" w:eastAsia="仿宋" w:cs="宋体"/>
          <w:sz w:val="28"/>
          <w:szCs w:val="28"/>
          <w:lang w:val="zh-CN"/>
        </w:rPr>
        <w:t>后</w:t>
      </w:r>
      <w:r>
        <w:rPr>
          <w:rFonts w:hint="eastAsia" w:ascii="仿宋" w:hAnsi="仿宋" w:eastAsia="仿宋" w:cs="宋体"/>
          <w:sz w:val="28"/>
          <w:szCs w:val="28"/>
        </w:rPr>
        <w:t>20</w:t>
      </w:r>
      <w:r>
        <w:rPr>
          <w:rFonts w:hint="eastAsia" w:ascii="仿宋" w:hAnsi="仿宋" w:eastAsia="仿宋" w:cs="宋体"/>
          <w:sz w:val="28"/>
          <w:szCs w:val="28"/>
          <w:lang w:val="zh-CN"/>
        </w:rPr>
        <w:t>天内。</w:t>
      </w:r>
      <w:bookmarkStart w:id="6" w:name="_Toc28359090"/>
      <w:bookmarkStart w:id="7" w:name="_Toc35393630"/>
      <w:bookmarkStart w:id="8" w:name="_Toc28359013"/>
      <w:bookmarkStart w:id="9" w:name="_Toc35393799"/>
    </w:p>
    <w:p>
      <w:pPr>
        <w:pStyle w:val="2"/>
        <w:spacing w:line="460" w:lineRule="exact"/>
        <w:ind w:firstLine="560" w:firstLineChars="200"/>
        <w:rPr>
          <w:rFonts w:ascii="黑体" w:hAnsi="黑体" w:eastAsia="黑体"/>
          <w:sz w:val="28"/>
          <w:szCs w:val="28"/>
          <w:lang w:eastAsia="zh-CN"/>
        </w:rPr>
      </w:pPr>
      <w:r>
        <w:rPr>
          <w:rFonts w:hint="eastAsia" w:ascii="黑体" w:hAnsi="黑体" w:eastAsia="黑体"/>
          <w:sz w:val="28"/>
          <w:szCs w:val="28"/>
          <w:lang w:eastAsia="zh-CN"/>
        </w:rPr>
        <w:t>二、申请人的资格要求：</w:t>
      </w:r>
      <w:bookmarkEnd w:id="6"/>
      <w:bookmarkEnd w:id="7"/>
      <w:bookmarkEnd w:id="8"/>
      <w:bookmarkEnd w:id="9"/>
    </w:p>
    <w:p>
      <w:pPr>
        <w:snapToGrid w:val="0"/>
        <w:spacing w:line="300" w:lineRule="auto"/>
        <w:ind w:firstLine="560" w:firstLineChars="200"/>
        <w:rPr>
          <w:rFonts w:hint="eastAsia" w:ascii="仿宋" w:hAnsi="仿宋" w:eastAsia="仿宋"/>
          <w:szCs w:val="32"/>
        </w:rPr>
      </w:pPr>
      <w:bookmarkStart w:id="10" w:name="_Toc28359014"/>
      <w:bookmarkStart w:id="11" w:name="_Toc28359091"/>
      <w:bookmarkStart w:id="12" w:name="_Toc35393800"/>
      <w:bookmarkStart w:id="13" w:name="_Toc35393631"/>
      <w:r>
        <w:rPr>
          <w:rFonts w:hint="eastAsia" w:ascii="仿宋" w:hAnsi="仿宋" w:eastAsia="仿宋"/>
          <w:szCs w:val="32"/>
        </w:rPr>
        <w:t>1、竞价人具有独立的法人资格。必须具有有效的统一社会信用代码的营业执照</w:t>
      </w:r>
      <w:r>
        <w:rPr>
          <w:rFonts w:ascii="仿宋" w:hAnsi="仿宋" w:eastAsia="仿宋"/>
          <w:szCs w:val="32"/>
        </w:rPr>
        <w:t>；</w:t>
      </w:r>
    </w:p>
    <w:p>
      <w:pPr>
        <w:snapToGrid w:val="0"/>
        <w:spacing w:line="300" w:lineRule="auto"/>
        <w:ind w:firstLine="560" w:firstLineChars="200"/>
        <w:rPr>
          <w:rFonts w:hint="eastAsia" w:ascii="仿宋" w:hAnsi="仿宋" w:eastAsia="仿宋"/>
          <w:szCs w:val="32"/>
        </w:rPr>
      </w:pPr>
      <w:r>
        <w:rPr>
          <w:rFonts w:hint="eastAsia" w:ascii="仿宋" w:hAnsi="仿宋" w:eastAsia="仿宋"/>
          <w:szCs w:val="32"/>
        </w:rPr>
        <w:t>2</w:t>
      </w:r>
      <w:r>
        <w:rPr>
          <w:rFonts w:ascii="仿宋" w:hAnsi="仿宋" w:eastAsia="仿宋"/>
          <w:szCs w:val="32"/>
        </w:rPr>
        <w:t>、参加政府采购活动前3年内在经营活动中没有重大违法记录的书面声明</w:t>
      </w:r>
      <w:r>
        <w:rPr>
          <w:rFonts w:hint="eastAsia" w:ascii="仿宋" w:hAnsi="仿宋" w:eastAsia="仿宋"/>
          <w:szCs w:val="32"/>
        </w:rPr>
        <w:t>。</w:t>
      </w:r>
    </w:p>
    <w:p>
      <w:pPr>
        <w:pStyle w:val="2"/>
        <w:spacing w:line="460" w:lineRule="exact"/>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三、获取采购文件</w:t>
      </w:r>
      <w:bookmarkEnd w:id="10"/>
      <w:bookmarkEnd w:id="11"/>
      <w:bookmarkEnd w:id="12"/>
      <w:bookmarkEnd w:id="13"/>
    </w:p>
    <w:p>
      <w:pPr>
        <w:overflowPunct/>
        <w:spacing w:line="460" w:lineRule="exact"/>
        <w:ind w:firstLine="540"/>
        <w:rPr>
          <w:rFonts w:ascii="仿宋" w:hAnsi="仿宋" w:eastAsia="仿宋" w:cs="宋体"/>
          <w:sz w:val="28"/>
          <w:szCs w:val="28"/>
        </w:rPr>
      </w:pPr>
      <w:r>
        <w:rPr>
          <w:rFonts w:hint="eastAsia" w:ascii="仿宋" w:hAnsi="仿宋" w:eastAsia="仿宋" w:cs="宋体"/>
          <w:sz w:val="28"/>
          <w:szCs w:val="28"/>
        </w:rPr>
        <w:t>时间：202</w:t>
      </w:r>
      <w:r>
        <w:rPr>
          <w:rFonts w:hint="eastAsia" w:ascii="仿宋" w:hAnsi="仿宋" w:eastAsia="仿宋" w:cs="宋体"/>
          <w:sz w:val="28"/>
          <w:szCs w:val="28"/>
          <w:lang w:val="en-US" w:eastAsia="zh-CN"/>
        </w:rPr>
        <w:t>2</w:t>
      </w:r>
      <w:r>
        <w:rPr>
          <w:rFonts w:hint="eastAsia" w:ascii="仿宋" w:hAnsi="仿宋" w:eastAsia="仿宋" w:cs="宋体"/>
          <w:sz w:val="28"/>
          <w:szCs w:val="28"/>
        </w:rPr>
        <w:t>年1</w:t>
      </w:r>
      <w:r>
        <w:rPr>
          <w:rFonts w:hint="eastAsia" w:ascii="仿宋" w:hAnsi="仿宋" w:cs="宋体"/>
          <w:sz w:val="28"/>
          <w:szCs w:val="28"/>
          <w:lang w:val="en-US" w:eastAsia="zh-CN"/>
        </w:rPr>
        <w:t>2</w:t>
      </w:r>
      <w:r>
        <w:rPr>
          <w:rFonts w:hint="eastAsia" w:ascii="仿宋" w:hAnsi="仿宋" w:eastAsia="仿宋" w:cs="宋体"/>
          <w:sz w:val="28"/>
          <w:szCs w:val="28"/>
        </w:rPr>
        <w:t>月</w:t>
      </w:r>
      <w:r>
        <w:rPr>
          <w:rFonts w:hint="eastAsia" w:ascii="仿宋" w:hAnsi="仿宋" w:cs="宋体"/>
          <w:sz w:val="28"/>
          <w:szCs w:val="28"/>
          <w:lang w:val="en-US" w:eastAsia="zh-CN"/>
        </w:rPr>
        <w:t>5</w:t>
      </w:r>
      <w:r>
        <w:rPr>
          <w:rFonts w:hint="eastAsia" w:ascii="仿宋" w:hAnsi="仿宋" w:eastAsia="仿宋" w:cs="宋体"/>
          <w:sz w:val="28"/>
          <w:szCs w:val="28"/>
        </w:rPr>
        <w:t>日至202</w:t>
      </w:r>
      <w:r>
        <w:rPr>
          <w:rFonts w:hint="eastAsia" w:ascii="仿宋" w:hAnsi="仿宋" w:eastAsia="仿宋" w:cs="宋体"/>
          <w:sz w:val="28"/>
          <w:szCs w:val="28"/>
          <w:lang w:val="en-US" w:eastAsia="zh-CN"/>
        </w:rPr>
        <w:t>2</w:t>
      </w:r>
      <w:r>
        <w:rPr>
          <w:rFonts w:hint="eastAsia" w:ascii="仿宋" w:hAnsi="仿宋" w:eastAsia="仿宋" w:cs="宋体"/>
          <w:sz w:val="28"/>
          <w:szCs w:val="28"/>
        </w:rPr>
        <w:t>年1</w:t>
      </w:r>
      <w:r>
        <w:rPr>
          <w:rFonts w:hint="eastAsia" w:ascii="仿宋" w:hAnsi="仿宋" w:cs="宋体"/>
          <w:sz w:val="28"/>
          <w:szCs w:val="28"/>
          <w:lang w:val="en-US" w:eastAsia="zh-CN"/>
        </w:rPr>
        <w:t>2</w:t>
      </w:r>
      <w:r>
        <w:rPr>
          <w:rFonts w:hint="eastAsia" w:ascii="仿宋" w:hAnsi="仿宋" w:eastAsia="仿宋" w:cs="宋体"/>
          <w:sz w:val="28"/>
          <w:szCs w:val="28"/>
        </w:rPr>
        <w:t>月</w:t>
      </w:r>
      <w:r>
        <w:rPr>
          <w:rFonts w:hint="eastAsia" w:ascii="仿宋" w:hAnsi="仿宋" w:cs="宋体"/>
          <w:sz w:val="28"/>
          <w:szCs w:val="28"/>
          <w:lang w:val="en-US" w:eastAsia="zh-CN"/>
        </w:rPr>
        <w:t>9</w:t>
      </w:r>
      <w:r>
        <w:rPr>
          <w:rFonts w:hint="eastAsia" w:ascii="仿宋" w:hAnsi="仿宋" w:eastAsia="仿宋" w:cs="宋体"/>
          <w:sz w:val="28"/>
          <w:szCs w:val="28"/>
        </w:rPr>
        <w:t>日上午10时止；</w:t>
      </w:r>
    </w:p>
    <w:p>
      <w:pPr>
        <w:overflowPunct/>
        <w:spacing w:line="460" w:lineRule="exact"/>
        <w:ind w:firstLine="540"/>
        <w:rPr>
          <w:rFonts w:ascii="仿宋" w:hAnsi="仿宋" w:eastAsia="仿宋" w:cs="宋体"/>
          <w:sz w:val="28"/>
          <w:szCs w:val="28"/>
          <w:u w:val="single"/>
        </w:rPr>
      </w:pPr>
      <w:r>
        <w:rPr>
          <w:rFonts w:hint="eastAsia" w:ascii="仿宋" w:hAnsi="仿宋" w:eastAsia="仿宋" w:cs="宋体"/>
          <w:sz w:val="28"/>
          <w:szCs w:val="28"/>
        </w:rPr>
        <w:t>地点：海安人大网（</w:t>
      </w:r>
      <w:r>
        <w:rPr>
          <w:rFonts w:ascii="仿宋" w:hAnsi="仿宋" w:eastAsia="仿宋" w:cs="宋体"/>
          <w:sz w:val="28"/>
          <w:szCs w:val="28"/>
        </w:rPr>
        <w:fldChar w:fldCharType="begin"/>
      </w:r>
      <w:r>
        <w:rPr>
          <w:rFonts w:ascii="仿宋" w:hAnsi="仿宋" w:eastAsia="仿宋" w:cs="宋体"/>
          <w:sz w:val="28"/>
          <w:szCs w:val="28"/>
        </w:rPr>
        <w:instrText xml:space="preserve"> HYPERLINK "http://</w:instrText>
      </w:r>
      <w:r>
        <w:rPr>
          <w:rFonts w:hint="eastAsia" w:ascii="仿宋" w:hAnsi="仿宋" w:eastAsia="仿宋" w:cs="宋体"/>
          <w:sz w:val="28"/>
          <w:szCs w:val="28"/>
        </w:rPr>
        <w:instrText xml:space="preserve">www.hardw.com</w:instrText>
      </w:r>
      <w:r>
        <w:rPr>
          <w:rFonts w:ascii="仿宋" w:hAnsi="仿宋" w:eastAsia="仿宋" w:cs="宋体"/>
          <w:sz w:val="28"/>
          <w:szCs w:val="28"/>
        </w:rPr>
        <w:instrText xml:space="preserve">" </w:instrText>
      </w:r>
      <w:r>
        <w:rPr>
          <w:rFonts w:ascii="仿宋" w:hAnsi="仿宋" w:eastAsia="仿宋" w:cs="宋体"/>
          <w:sz w:val="28"/>
          <w:szCs w:val="28"/>
        </w:rPr>
        <w:fldChar w:fldCharType="separate"/>
      </w:r>
      <w:r>
        <w:rPr>
          <w:rStyle w:val="31"/>
          <w:rFonts w:hint="eastAsia" w:ascii="仿宋" w:hAnsi="仿宋" w:eastAsia="仿宋" w:cs="宋体"/>
          <w:sz w:val="28"/>
          <w:szCs w:val="28"/>
        </w:rPr>
        <w:t>www.hardw.com</w:t>
      </w:r>
      <w:r>
        <w:rPr>
          <w:rFonts w:ascii="仿宋" w:hAnsi="仿宋" w:eastAsia="仿宋" w:cs="宋体"/>
          <w:sz w:val="28"/>
          <w:szCs w:val="28"/>
        </w:rPr>
        <w:fldChar w:fldCharType="end"/>
      </w:r>
      <w:r>
        <w:rPr>
          <w:rFonts w:hint="eastAsia" w:ascii="仿宋" w:hAnsi="仿宋" w:eastAsia="仿宋" w:cs="宋体"/>
          <w:sz w:val="28"/>
          <w:szCs w:val="28"/>
        </w:rPr>
        <w:t>）；</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方式：自行下载</w:t>
      </w:r>
      <w:bookmarkStart w:id="14" w:name="_Toc28359015"/>
      <w:bookmarkStart w:id="15" w:name="_Toc35393632"/>
      <w:bookmarkStart w:id="16" w:name="_Toc28359092"/>
      <w:bookmarkStart w:id="17" w:name="_Toc35393801"/>
    </w:p>
    <w:p>
      <w:pPr>
        <w:pStyle w:val="2"/>
        <w:spacing w:line="460" w:lineRule="exact"/>
        <w:ind w:firstLine="560" w:firstLineChars="200"/>
        <w:rPr>
          <w:rFonts w:ascii="黑体" w:hAnsi="黑体" w:eastAsia="黑体"/>
          <w:sz w:val="28"/>
          <w:szCs w:val="28"/>
          <w:lang w:eastAsia="zh-CN"/>
        </w:rPr>
      </w:pPr>
      <w:r>
        <w:rPr>
          <w:rFonts w:hint="eastAsia" w:ascii="黑体" w:hAnsi="黑体" w:eastAsia="黑体"/>
          <w:sz w:val="28"/>
          <w:szCs w:val="28"/>
          <w:lang w:eastAsia="zh-CN"/>
        </w:rPr>
        <w:t>四、响应文件提交</w:t>
      </w:r>
      <w:bookmarkEnd w:id="14"/>
      <w:bookmarkEnd w:id="15"/>
      <w:bookmarkEnd w:id="16"/>
      <w:bookmarkEnd w:id="17"/>
    </w:p>
    <w:p>
      <w:pPr>
        <w:overflowPunct/>
        <w:spacing w:line="460" w:lineRule="exact"/>
        <w:ind w:firstLine="560" w:firstLineChars="200"/>
        <w:rPr>
          <w:rFonts w:hint="eastAsia" w:ascii="仿宋" w:hAnsi="仿宋" w:eastAsia="仿宋"/>
          <w:bCs/>
          <w:sz w:val="28"/>
          <w:szCs w:val="28"/>
        </w:rPr>
      </w:pPr>
      <w:r>
        <w:rPr>
          <w:rFonts w:hint="eastAsia" w:ascii="仿宋" w:hAnsi="仿宋" w:eastAsia="仿宋"/>
          <w:sz w:val="28"/>
          <w:szCs w:val="28"/>
        </w:rPr>
        <w:t>截止时间：202</w:t>
      </w:r>
      <w:r>
        <w:rPr>
          <w:rFonts w:hint="eastAsia" w:ascii="仿宋" w:hAnsi="仿宋" w:eastAsia="仿宋"/>
          <w:sz w:val="28"/>
          <w:szCs w:val="28"/>
          <w:lang w:val="en-US" w:eastAsia="zh-CN"/>
        </w:rPr>
        <w:t>2</w:t>
      </w:r>
      <w:r>
        <w:rPr>
          <w:rFonts w:hint="eastAsia" w:ascii="仿宋" w:hAnsi="仿宋" w:eastAsia="仿宋"/>
          <w:bCs/>
          <w:sz w:val="28"/>
          <w:szCs w:val="28"/>
        </w:rPr>
        <w:t>年1</w:t>
      </w:r>
      <w:r>
        <w:rPr>
          <w:rFonts w:hint="eastAsia" w:ascii="仿宋" w:hAnsi="仿宋"/>
          <w:bCs/>
          <w:sz w:val="28"/>
          <w:szCs w:val="28"/>
          <w:lang w:val="en-US" w:eastAsia="zh-CN"/>
        </w:rPr>
        <w:t>2</w:t>
      </w:r>
      <w:r>
        <w:rPr>
          <w:rFonts w:hint="eastAsia" w:ascii="仿宋" w:hAnsi="仿宋" w:eastAsia="仿宋"/>
          <w:bCs/>
          <w:sz w:val="28"/>
          <w:szCs w:val="28"/>
        </w:rPr>
        <w:t>月</w:t>
      </w:r>
      <w:r>
        <w:rPr>
          <w:rFonts w:hint="eastAsia" w:ascii="仿宋" w:hAnsi="仿宋"/>
          <w:bCs/>
          <w:sz w:val="28"/>
          <w:szCs w:val="28"/>
          <w:lang w:val="en-US" w:eastAsia="zh-CN"/>
        </w:rPr>
        <w:t>9</w:t>
      </w:r>
      <w:r>
        <w:rPr>
          <w:rFonts w:hint="eastAsia" w:ascii="仿宋" w:hAnsi="仿宋" w:eastAsia="仿宋"/>
          <w:bCs/>
          <w:sz w:val="28"/>
          <w:szCs w:val="28"/>
        </w:rPr>
        <w:t>日上午10时整</w:t>
      </w:r>
    </w:p>
    <w:p>
      <w:pPr>
        <w:overflowPunct/>
        <w:spacing w:line="460" w:lineRule="exact"/>
        <w:ind w:firstLine="560" w:firstLineChars="200"/>
        <w:rPr>
          <w:rFonts w:hint="eastAsia" w:ascii="仿宋" w:hAnsi="仿宋" w:eastAsia="仿宋" w:cs="宋体"/>
          <w:sz w:val="28"/>
          <w:szCs w:val="28"/>
        </w:rPr>
      </w:pPr>
      <w:r>
        <w:rPr>
          <w:rFonts w:hint="eastAsia" w:ascii="仿宋" w:hAnsi="仿宋" w:eastAsia="仿宋"/>
          <w:sz w:val="28"/>
          <w:szCs w:val="28"/>
        </w:rPr>
        <w:t>文件提交地点</w:t>
      </w:r>
      <w:r>
        <w:rPr>
          <w:rFonts w:hint="eastAsia" w:ascii="仿宋" w:hAnsi="仿宋" w:eastAsia="仿宋" w:cs="宋体"/>
          <w:sz w:val="28"/>
          <w:szCs w:val="28"/>
        </w:rPr>
        <w:t>：海安市长江中路106号8</w:t>
      </w:r>
      <w:r>
        <w:rPr>
          <w:rFonts w:hint="eastAsia" w:ascii="仿宋" w:hAnsi="仿宋" w:cs="宋体"/>
          <w:sz w:val="28"/>
          <w:szCs w:val="28"/>
          <w:lang w:val="en-US" w:eastAsia="zh-CN"/>
        </w:rPr>
        <w:t>2</w:t>
      </w:r>
      <w:r>
        <w:rPr>
          <w:rFonts w:hint="eastAsia" w:ascii="仿宋" w:hAnsi="仿宋" w:eastAsia="仿宋" w:cs="宋体"/>
          <w:sz w:val="28"/>
          <w:szCs w:val="28"/>
        </w:rPr>
        <w:t>2会议室，</w:t>
      </w:r>
      <w:r>
        <w:rPr>
          <w:rFonts w:ascii="仿宋" w:hAnsi="仿宋" w:eastAsia="仿宋" w:cs="宋体"/>
          <w:sz w:val="28"/>
          <w:szCs w:val="28"/>
        </w:rPr>
        <w:t>如有变动另行通知</w:t>
      </w:r>
      <w:r>
        <w:rPr>
          <w:rFonts w:hint="eastAsia" w:ascii="仿宋" w:hAnsi="仿宋" w:eastAsia="仿宋" w:cs="宋体"/>
          <w:sz w:val="28"/>
          <w:szCs w:val="28"/>
        </w:rPr>
        <w:t>。</w:t>
      </w:r>
      <w:bookmarkStart w:id="18" w:name="_Toc28359093"/>
      <w:bookmarkStart w:id="19" w:name="_Toc28359016"/>
      <w:bookmarkStart w:id="20" w:name="_Toc35393633"/>
      <w:bookmarkStart w:id="21" w:name="_Toc35393802"/>
    </w:p>
    <w:p>
      <w:pPr>
        <w:pStyle w:val="2"/>
        <w:spacing w:line="460" w:lineRule="exact"/>
        <w:ind w:firstLine="560" w:firstLineChars="200"/>
        <w:rPr>
          <w:rFonts w:ascii="黑体" w:hAnsi="黑体" w:eastAsia="黑体"/>
          <w:sz w:val="28"/>
          <w:szCs w:val="28"/>
          <w:lang w:eastAsia="zh-CN"/>
        </w:rPr>
      </w:pPr>
      <w:r>
        <w:rPr>
          <w:rFonts w:hint="eastAsia" w:ascii="黑体" w:hAnsi="黑体" w:eastAsia="黑体"/>
          <w:sz w:val="28"/>
          <w:szCs w:val="28"/>
          <w:lang w:eastAsia="zh-CN"/>
        </w:rPr>
        <w:t>五、开启</w:t>
      </w:r>
      <w:bookmarkEnd w:id="18"/>
      <w:bookmarkEnd w:id="19"/>
      <w:bookmarkEnd w:id="20"/>
      <w:bookmarkEnd w:id="21"/>
    </w:p>
    <w:p>
      <w:pPr>
        <w:overflowPunct/>
        <w:spacing w:line="460" w:lineRule="exact"/>
        <w:ind w:firstLine="560" w:firstLineChars="200"/>
        <w:rPr>
          <w:rFonts w:ascii="仿宋" w:hAnsi="仿宋" w:eastAsia="仿宋"/>
          <w:bCs/>
          <w:sz w:val="28"/>
          <w:szCs w:val="28"/>
        </w:rPr>
      </w:pPr>
      <w:r>
        <w:rPr>
          <w:rFonts w:hint="eastAsia" w:ascii="仿宋" w:hAnsi="仿宋" w:eastAsia="仿宋"/>
          <w:sz w:val="28"/>
          <w:szCs w:val="28"/>
        </w:rPr>
        <w:t>时间：202</w:t>
      </w:r>
      <w:r>
        <w:rPr>
          <w:rFonts w:hint="eastAsia" w:ascii="仿宋" w:hAnsi="仿宋" w:eastAsia="仿宋"/>
          <w:sz w:val="28"/>
          <w:szCs w:val="28"/>
          <w:lang w:val="en-US" w:eastAsia="zh-CN"/>
        </w:rPr>
        <w:t>2</w:t>
      </w:r>
      <w:r>
        <w:rPr>
          <w:rFonts w:hint="eastAsia" w:ascii="仿宋" w:hAnsi="仿宋" w:eastAsia="仿宋"/>
          <w:bCs/>
          <w:sz w:val="28"/>
          <w:szCs w:val="28"/>
        </w:rPr>
        <w:t>年1</w:t>
      </w:r>
      <w:r>
        <w:rPr>
          <w:rFonts w:hint="eastAsia" w:ascii="仿宋" w:hAnsi="仿宋"/>
          <w:bCs/>
          <w:sz w:val="28"/>
          <w:szCs w:val="28"/>
          <w:lang w:val="en-US" w:eastAsia="zh-CN"/>
        </w:rPr>
        <w:t>2</w:t>
      </w:r>
      <w:r>
        <w:rPr>
          <w:rFonts w:hint="eastAsia" w:ascii="仿宋" w:hAnsi="仿宋" w:eastAsia="仿宋"/>
          <w:bCs/>
          <w:sz w:val="28"/>
          <w:szCs w:val="28"/>
        </w:rPr>
        <w:t>月</w:t>
      </w:r>
      <w:r>
        <w:rPr>
          <w:rFonts w:hint="eastAsia" w:ascii="仿宋" w:hAnsi="仿宋"/>
          <w:bCs/>
          <w:sz w:val="28"/>
          <w:szCs w:val="28"/>
          <w:lang w:val="en-US" w:eastAsia="zh-CN"/>
        </w:rPr>
        <w:t>9</w:t>
      </w:r>
      <w:r>
        <w:rPr>
          <w:rFonts w:hint="eastAsia" w:ascii="仿宋" w:hAnsi="仿宋" w:eastAsia="仿宋"/>
          <w:bCs/>
          <w:sz w:val="28"/>
          <w:szCs w:val="28"/>
        </w:rPr>
        <w:t>日上午10时整</w:t>
      </w:r>
    </w:p>
    <w:p>
      <w:pPr>
        <w:overflowPunct/>
        <w:spacing w:line="460" w:lineRule="exact"/>
        <w:ind w:firstLine="560" w:firstLineChars="200"/>
        <w:rPr>
          <w:rFonts w:hint="eastAsia" w:ascii="仿宋" w:hAnsi="仿宋" w:eastAsia="仿宋" w:cs="宋体"/>
          <w:sz w:val="28"/>
          <w:szCs w:val="28"/>
        </w:rPr>
      </w:pPr>
      <w:bookmarkStart w:id="22" w:name="_Toc35393803"/>
      <w:bookmarkStart w:id="23" w:name="_Toc35393634"/>
      <w:bookmarkStart w:id="24" w:name="_Toc28359094"/>
      <w:bookmarkStart w:id="25" w:name="_Toc28359017"/>
      <w:r>
        <w:rPr>
          <w:rFonts w:hint="eastAsia" w:ascii="仿宋" w:hAnsi="仿宋" w:eastAsia="仿宋"/>
          <w:sz w:val="28"/>
          <w:szCs w:val="28"/>
        </w:rPr>
        <w:t>地点</w:t>
      </w:r>
      <w:r>
        <w:rPr>
          <w:rFonts w:hint="eastAsia" w:ascii="仿宋" w:hAnsi="仿宋" w:eastAsia="仿宋" w:cs="宋体"/>
          <w:sz w:val="28"/>
          <w:szCs w:val="28"/>
        </w:rPr>
        <w:t>：海安市长江中路106号8</w:t>
      </w:r>
      <w:r>
        <w:rPr>
          <w:rFonts w:hint="eastAsia" w:ascii="仿宋" w:hAnsi="仿宋" w:cs="宋体"/>
          <w:sz w:val="28"/>
          <w:szCs w:val="28"/>
          <w:lang w:val="en-US" w:eastAsia="zh-CN"/>
        </w:rPr>
        <w:t>2</w:t>
      </w:r>
      <w:r>
        <w:rPr>
          <w:rFonts w:hint="eastAsia" w:ascii="仿宋" w:hAnsi="仿宋" w:eastAsia="仿宋" w:cs="宋体"/>
          <w:sz w:val="28"/>
          <w:szCs w:val="28"/>
        </w:rPr>
        <w:t>2会议室，</w:t>
      </w:r>
      <w:r>
        <w:rPr>
          <w:rFonts w:ascii="仿宋" w:hAnsi="仿宋" w:eastAsia="仿宋" w:cs="宋体"/>
          <w:sz w:val="28"/>
          <w:szCs w:val="28"/>
        </w:rPr>
        <w:t>如有变动另行通知</w:t>
      </w:r>
      <w:r>
        <w:rPr>
          <w:rFonts w:hint="eastAsia" w:ascii="仿宋" w:hAnsi="仿宋" w:eastAsia="仿宋" w:cs="宋体"/>
          <w:sz w:val="28"/>
          <w:szCs w:val="28"/>
        </w:rPr>
        <w:t>。</w:t>
      </w:r>
    </w:p>
    <w:p>
      <w:pPr>
        <w:pStyle w:val="2"/>
        <w:spacing w:line="460" w:lineRule="exact"/>
        <w:ind w:firstLine="560" w:firstLineChars="200"/>
        <w:rPr>
          <w:rFonts w:ascii="黑体" w:hAnsi="黑体" w:eastAsia="黑体"/>
          <w:sz w:val="28"/>
          <w:szCs w:val="28"/>
          <w:lang w:eastAsia="zh-CN"/>
        </w:rPr>
      </w:pPr>
      <w:r>
        <w:rPr>
          <w:rFonts w:hint="eastAsia" w:ascii="黑体" w:hAnsi="黑体" w:eastAsia="黑体"/>
          <w:sz w:val="28"/>
          <w:szCs w:val="28"/>
          <w:lang w:eastAsia="zh-CN"/>
        </w:rPr>
        <w:t>六、公告期限</w:t>
      </w:r>
      <w:bookmarkEnd w:id="22"/>
      <w:bookmarkEnd w:id="23"/>
      <w:bookmarkEnd w:id="24"/>
      <w:bookmarkEnd w:id="25"/>
    </w:p>
    <w:p>
      <w:pPr>
        <w:overflowPunct/>
        <w:spacing w:line="4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自本公告发布之日起至202</w:t>
      </w:r>
      <w:r>
        <w:rPr>
          <w:rFonts w:hint="eastAsia" w:ascii="仿宋" w:hAnsi="仿宋" w:eastAsia="仿宋" w:cs="宋体"/>
          <w:sz w:val="28"/>
          <w:szCs w:val="28"/>
          <w:lang w:val="en-US" w:eastAsia="zh-CN"/>
        </w:rPr>
        <w:t>2</w:t>
      </w:r>
      <w:r>
        <w:rPr>
          <w:rFonts w:hint="eastAsia" w:ascii="仿宋" w:hAnsi="仿宋" w:eastAsia="仿宋" w:cs="宋体"/>
          <w:sz w:val="28"/>
          <w:szCs w:val="28"/>
        </w:rPr>
        <w:t>年1</w:t>
      </w:r>
      <w:r>
        <w:rPr>
          <w:rFonts w:hint="eastAsia" w:ascii="仿宋" w:hAnsi="仿宋" w:cs="宋体"/>
          <w:sz w:val="28"/>
          <w:szCs w:val="28"/>
          <w:lang w:val="en-US" w:eastAsia="zh-CN"/>
        </w:rPr>
        <w:t>2</w:t>
      </w:r>
      <w:r>
        <w:rPr>
          <w:rFonts w:hint="eastAsia" w:ascii="仿宋" w:hAnsi="仿宋" w:eastAsia="仿宋" w:cs="宋体"/>
          <w:sz w:val="28"/>
          <w:szCs w:val="28"/>
        </w:rPr>
        <w:t>月</w:t>
      </w:r>
      <w:r>
        <w:rPr>
          <w:rFonts w:hint="eastAsia" w:ascii="仿宋" w:hAnsi="仿宋" w:cs="宋体"/>
          <w:sz w:val="28"/>
          <w:szCs w:val="28"/>
          <w:lang w:val="en-US" w:eastAsia="zh-CN"/>
        </w:rPr>
        <w:t>9</w:t>
      </w:r>
      <w:r>
        <w:rPr>
          <w:rFonts w:hint="eastAsia" w:ascii="仿宋" w:hAnsi="仿宋" w:eastAsia="仿宋" w:cs="宋体"/>
          <w:sz w:val="28"/>
          <w:szCs w:val="28"/>
        </w:rPr>
        <w:t>日上午10时止。</w:t>
      </w:r>
      <w:bookmarkStart w:id="26" w:name="_Toc35393804"/>
      <w:bookmarkStart w:id="27" w:name="_Toc35393635"/>
    </w:p>
    <w:p>
      <w:pPr>
        <w:pStyle w:val="2"/>
        <w:spacing w:line="460" w:lineRule="exact"/>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七、其他补充事宜</w:t>
      </w:r>
      <w:bookmarkEnd w:id="26"/>
      <w:bookmarkEnd w:id="27"/>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w:t>
      </w:r>
      <w:r>
        <w:rPr>
          <w:rFonts w:hint="eastAsia" w:ascii="仿宋" w:hAnsi="仿宋" w:cs="宋体"/>
          <w:sz w:val="28"/>
          <w:szCs w:val="28"/>
          <w:lang w:val="en-US" w:eastAsia="zh-CN"/>
        </w:rPr>
        <w:t>.</w:t>
      </w:r>
      <w:r>
        <w:rPr>
          <w:rFonts w:hint="eastAsia" w:ascii="仿宋" w:hAnsi="仿宋" w:eastAsia="仿宋" w:cs="宋体"/>
          <w:sz w:val="28"/>
          <w:szCs w:val="28"/>
        </w:rPr>
        <w:t>竞谈保证金：免收。</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w:t>
      </w:r>
      <w:r>
        <w:rPr>
          <w:rFonts w:hint="eastAsia" w:ascii="仿宋" w:hAnsi="仿宋" w:cs="宋体"/>
          <w:sz w:val="28"/>
          <w:szCs w:val="28"/>
          <w:lang w:val="en-US" w:eastAsia="zh-CN"/>
        </w:rPr>
        <w:t>.</w:t>
      </w:r>
      <w:r>
        <w:rPr>
          <w:rFonts w:hint="eastAsia" w:ascii="仿宋" w:hAnsi="仿宋" w:eastAsia="仿宋" w:cs="宋体"/>
          <w:sz w:val="28"/>
          <w:szCs w:val="28"/>
        </w:rPr>
        <w:t>项目竞价活动模式：</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本项目采用现场竞价模式，</w:t>
      </w:r>
      <w:r>
        <w:rPr>
          <w:rFonts w:hint="eastAsia" w:ascii="仿宋" w:hAnsi="仿宋" w:cs="宋体"/>
          <w:sz w:val="28"/>
          <w:szCs w:val="28"/>
          <w:lang w:eastAsia="zh-CN"/>
        </w:rPr>
        <w:t>竞价</w:t>
      </w:r>
      <w:r>
        <w:rPr>
          <w:rFonts w:hint="eastAsia" w:ascii="仿宋" w:hAnsi="仿宋" w:eastAsia="仿宋" w:cs="宋体"/>
          <w:sz w:val="28"/>
          <w:szCs w:val="28"/>
        </w:rPr>
        <w:t>人须在</w:t>
      </w:r>
      <w:r>
        <w:rPr>
          <w:rFonts w:hint="eastAsia" w:ascii="仿宋" w:hAnsi="仿宋" w:cs="宋体"/>
          <w:sz w:val="28"/>
          <w:szCs w:val="28"/>
          <w:lang w:eastAsia="zh-CN"/>
        </w:rPr>
        <w:t>竞价</w:t>
      </w:r>
      <w:r>
        <w:rPr>
          <w:rFonts w:hint="eastAsia" w:ascii="仿宋" w:hAnsi="仿宋" w:eastAsia="仿宋" w:cs="宋体"/>
          <w:sz w:val="28"/>
          <w:szCs w:val="28"/>
        </w:rPr>
        <w:t>截止时间前到竞价现场提交纸质</w:t>
      </w:r>
      <w:r>
        <w:rPr>
          <w:rFonts w:hint="eastAsia" w:ascii="仿宋" w:hAnsi="仿宋" w:cs="宋体"/>
          <w:sz w:val="28"/>
          <w:szCs w:val="28"/>
          <w:lang w:eastAsia="zh-CN"/>
        </w:rPr>
        <w:t>竞价</w:t>
      </w:r>
      <w:r>
        <w:rPr>
          <w:rFonts w:hint="eastAsia" w:ascii="仿宋" w:hAnsi="仿宋" w:eastAsia="仿宋" w:cs="宋体"/>
          <w:sz w:val="28"/>
          <w:szCs w:val="28"/>
        </w:rPr>
        <w:t>文件。</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3.</w:t>
      </w:r>
      <w:r>
        <w:rPr>
          <w:rFonts w:hint="eastAsia" w:ascii="仿宋" w:hAnsi="仿宋" w:eastAsia="仿宋" w:cs="宋体"/>
          <w:sz w:val="28"/>
          <w:szCs w:val="28"/>
        </w:rPr>
        <w:t>对项目需求部分的询问、质疑请向采购人提出，由采购人负责答复；对项目竞价文件其它部分的询问请向采购单位提出。</w:t>
      </w:r>
      <w:bookmarkStart w:id="28" w:name="_Toc35393636"/>
      <w:bookmarkStart w:id="29" w:name="_Toc35393805"/>
      <w:bookmarkStart w:id="30" w:name="_Toc28359095"/>
      <w:bookmarkStart w:id="31" w:name="_Toc28359018"/>
    </w:p>
    <w:bookmarkEnd w:id="28"/>
    <w:bookmarkEnd w:id="29"/>
    <w:bookmarkEnd w:id="30"/>
    <w:bookmarkEnd w:id="31"/>
    <w:p>
      <w:pPr>
        <w:pStyle w:val="2"/>
        <w:spacing w:line="460" w:lineRule="exact"/>
        <w:ind w:firstLine="560" w:firstLineChars="200"/>
        <w:rPr>
          <w:rFonts w:ascii="黑体" w:hAnsi="黑体" w:eastAsia="黑体"/>
          <w:sz w:val="28"/>
          <w:szCs w:val="28"/>
          <w:lang w:eastAsia="zh-CN"/>
        </w:rPr>
      </w:pPr>
      <w:r>
        <w:rPr>
          <w:rFonts w:hint="eastAsia" w:ascii="黑体" w:hAnsi="黑体" w:eastAsia="黑体"/>
          <w:sz w:val="28"/>
          <w:szCs w:val="28"/>
          <w:lang w:eastAsia="zh-CN"/>
        </w:rPr>
        <w:t>八、采购联系人和联系电话</w:t>
      </w:r>
    </w:p>
    <w:p>
      <w:pPr>
        <w:overflowPunct/>
        <w:spacing w:line="460" w:lineRule="exact"/>
        <w:ind w:firstLine="540"/>
        <w:rPr>
          <w:rFonts w:ascii="仿宋" w:hAnsi="仿宋" w:eastAsia="仿宋" w:cs="宋体"/>
          <w:sz w:val="28"/>
          <w:szCs w:val="28"/>
        </w:rPr>
      </w:pPr>
      <w:r>
        <w:rPr>
          <w:rFonts w:hint="eastAsia" w:ascii="仿宋" w:hAnsi="仿宋" w:eastAsia="仿宋" w:cs="宋体"/>
          <w:sz w:val="28"/>
          <w:szCs w:val="28"/>
        </w:rPr>
        <w:t>采购单位：市人大办</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采购单位联系人：张先生 联系电话：81868091</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传真：88852052</w:t>
      </w:r>
    </w:p>
    <w:p>
      <w:pPr>
        <w:wordWrap w:val="0"/>
        <w:overflowPunct/>
        <w:spacing w:line="460" w:lineRule="exact"/>
        <w:ind w:firstLine="540"/>
        <w:jc w:val="right"/>
        <w:rPr>
          <w:rFonts w:hint="default" w:ascii="仿宋" w:hAnsi="仿宋" w:eastAsia="仿宋" w:cs="宋体"/>
          <w:sz w:val="28"/>
          <w:szCs w:val="28"/>
          <w:lang w:val="en-US" w:eastAsia="zh-CN"/>
        </w:rPr>
      </w:pPr>
      <w:r>
        <w:rPr>
          <w:rFonts w:hint="eastAsia" w:ascii="仿宋" w:hAnsi="仿宋" w:cs="宋体"/>
          <w:sz w:val="28"/>
          <w:szCs w:val="28"/>
          <w:lang w:val="en-US" w:eastAsia="zh-CN"/>
        </w:rPr>
        <w:t xml:space="preserve"> </w:t>
      </w:r>
    </w:p>
    <w:p>
      <w:pPr>
        <w:wordWrap w:val="0"/>
        <w:overflowPunct/>
        <w:spacing w:line="460" w:lineRule="exact"/>
        <w:ind w:firstLine="540"/>
        <w:jc w:val="right"/>
        <w:rPr>
          <w:rFonts w:hint="eastAsia" w:ascii="仿宋" w:hAnsi="仿宋" w:cs="宋体"/>
          <w:sz w:val="28"/>
          <w:szCs w:val="28"/>
          <w:lang w:val="en-US" w:eastAsia="zh-CN"/>
        </w:rPr>
      </w:pPr>
      <w:r>
        <w:rPr>
          <w:rFonts w:hint="eastAsia" w:ascii="仿宋" w:hAnsi="仿宋" w:eastAsia="仿宋" w:cs="宋体"/>
          <w:sz w:val="28"/>
          <w:szCs w:val="28"/>
        </w:rPr>
        <w:t>20</w:t>
      </w:r>
      <w:r>
        <w:rPr>
          <w:rFonts w:hint="eastAsia" w:ascii="仿宋" w:hAnsi="仿宋" w:cs="宋体"/>
          <w:sz w:val="28"/>
          <w:szCs w:val="28"/>
          <w:lang w:val="en-US" w:eastAsia="zh-CN"/>
        </w:rPr>
        <w:t>22</w:t>
      </w:r>
      <w:r>
        <w:rPr>
          <w:rFonts w:hint="eastAsia" w:ascii="仿宋" w:hAnsi="仿宋" w:eastAsia="仿宋" w:cs="宋体"/>
          <w:sz w:val="28"/>
          <w:szCs w:val="28"/>
        </w:rPr>
        <w:t>年</w:t>
      </w:r>
      <w:r>
        <w:rPr>
          <w:rFonts w:hint="eastAsia" w:ascii="仿宋" w:hAnsi="仿宋" w:eastAsia="仿宋" w:cs="宋体"/>
          <w:sz w:val="28"/>
          <w:szCs w:val="28"/>
          <w:lang w:val="en-US" w:eastAsia="zh-CN"/>
        </w:rPr>
        <w:t>1</w:t>
      </w:r>
      <w:r>
        <w:rPr>
          <w:rFonts w:hint="eastAsia" w:ascii="仿宋" w:hAnsi="仿宋" w:cs="宋体"/>
          <w:sz w:val="28"/>
          <w:szCs w:val="28"/>
          <w:lang w:val="en-US" w:eastAsia="zh-CN"/>
        </w:rPr>
        <w:t>2</w:t>
      </w:r>
      <w:r>
        <w:rPr>
          <w:rFonts w:hint="eastAsia" w:ascii="仿宋" w:hAnsi="仿宋" w:eastAsia="仿宋" w:cs="宋体"/>
          <w:sz w:val="28"/>
          <w:szCs w:val="28"/>
        </w:rPr>
        <w:t>月</w:t>
      </w:r>
      <w:r>
        <w:rPr>
          <w:rFonts w:hint="eastAsia" w:ascii="仿宋" w:hAnsi="仿宋" w:cs="宋体"/>
          <w:sz w:val="28"/>
          <w:szCs w:val="28"/>
          <w:lang w:val="en-US" w:eastAsia="zh-CN"/>
        </w:rPr>
        <w:t>3</w:t>
      </w:r>
      <w:r>
        <w:rPr>
          <w:rFonts w:hint="eastAsia" w:ascii="仿宋" w:hAnsi="仿宋" w:eastAsia="仿宋" w:cs="宋体"/>
          <w:sz w:val="28"/>
          <w:szCs w:val="28"/>
        </w:rPr>
        <w:t>日</w:t>
      </w:r>
      <w:bookmarkEnd w:id="0"/>
      <w:bookmarkEnd w:id="1"/>
      <w:r>
        <w:rPr>
          <w:rFonts w:hint="eastAsia" w:ascii="仿宋" w:hAnsi="仿宋" w:cs="宋体"/>
          <w:sz w:val="28"/>
          <w:szCs w:val="28"/>
          <w:lang w:val="en-US" w:eastAsia="zh-CN"/>
        </w:rPr>
        <w:t xml:space="preserve">  </w:t>
      </w:r>
    </w:p>
    <w:p>
      <w:pPr>
        <w:rPr>
          <w:rFonts w:hint="eastAsia" w:ascii="仿宋" w:hAnsi="仿宋" w:cs="宋体"/>
          <w:sz w:val="28"/>
          <w:szCs w:val="28"/>
          <w:lang w:val="en-US" w:eastAsia="zh-CN"/>
        </w:rPr>
      </w:pPr>
      <w:r>
        <w:rPr>
          <w:rFonts w:hint="eastAsia" w:ascii="仿宋" w:hAnsi="仿宋" w:cs="宋体"/>
          <w:sz w:val="28"/>
          <w:szCs w:val="28"/>
          <w:lang w:val="en-US" w:eastAsia="zh-CN"/>
        </w:rPr>
        <w:br w:type="page"/>
      </w:r>
    </w:p>
    <w:p>
      <w:pPr>
        <w:adjustRightInd/>
        <w:snapToGrid w:val="0"/>
        <w:spacing w:line="360" w:lineRule="auto"/>
        <w:ind w:left="0" w:leftChars="0" w:firstLine="0" w:firstLineChars="0"/>
        <w:jc w:val="center"/>
        <w:outlineLvl w:val="0"/>
        <w:rPr>
          <w:rFonts w:hint="eastAsia" w:ascii="仿宋" w:hAnsi="仿宋" w:eastAsia="仿宋" w:cs="宋体"/>
          <w:b/>
          <w:bCs/>
          <w:sz w:val="24"/>
          <w:lang w:val="zh-CN"/>
        </w:rPr>
      </w:pPr>
      <w:r>
        <w:rPr>
          <w:rFonts w:hint="eastAsia" w:ascii="仿宋" w:hAnsi="仿宋" w:eastAsia="仿宋" w:cs="宋体"/>
          <w:b/>
          <w:sz w:val="36"/>
          <w:szCs w:val="30"/>
        </w:rPr>
        <w:t>第二部分  竞价须知</w:t>
      </w:r>
    </w:p>
    <w:p>
      <w:pPr>
        <w:pStyle w:val="2"/>
        <w:spacing w:line="460" w:lineRule="exact"/>
        <w:ind w:firstLine="560" w:firstLineChars="200"/>
        <w:rPr>
          <w:rFonts w:hint="eastAsia" w:ascii="黑体" w:hAnsi="黑体" w:eastAsia="黑体"/>
          <w:sz w:val="28"/>
          <w:szCs w:val="28"/>
          <w:lang w:eastAsia="zh-CN"/>
        </w:rPr>
      </w:pPr>
      <w:bookmarkStart w:id="32" w:name="_Toc46223136"/>
      <w:r>
        <w:rPr>
          <w:rFonts w:hint="eastAsia" w:ascii="黑体" w:hAnsi="黑体" w:eastAsia="黑体"/>
          <w:sz w:val="28"/>
          <w:szCs w:val="28"/>
          <w:lang w:eastAsia="zh-CN"/>
        </w:rPr>
        <w:t>一、本竞价文件解释</w:t>
      </w:r>
      <w:bookmarkEnd w:id="32"/>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w:t>
      </w:r>
      <w:r>
        <w:rPr>
          <w:rFonts w:hint="eastAsia" w:ascii="仿宋" w:hAnsi="仿宋" w:cs="宋体"/>
          <w:sz w:val="28"/>
          <w:szCs w:val="28"/>
          <w:lang w:val="en-US" w:eastAsia="zh-CN"/>
        </w:rPr>
        <w:t>.</w:t>
      </w:r>
      <w:r>
        <w:rPr>
          <w:rFonts w:hint="eastAsia" w:ascii="仿宋" w:hAnsi="仿宋" w:eastAsia="仿宋" w:cs="宋体"/>
          <w:sz w:val="28"/>
          <w:szCs w:val="28"/>
        </w:rPr>
        <w:t>供应商获取竞价文件后，应仔细检查竞价文件的所有内容，如有内容或页码残缺、资格要求和技术参数含有倾向性或排他性等表述的，请在竞价文件发布期内，以书面形式提出询问或疑问，未在规定时间内提出询问或疑问的，视同供应商理解并接受本竞价文件所有内容，并由此引起的损失自负。供应商不得在响应结束后针对竞价文件所有内容提出质疑事项。非书面形式的不作为日后质疑提出的依据。</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w:t>
      </w:r>
      <w:r>
        <w:rPr>
          <w:rFonts w:hint="eastAsia" w:ascii="仿宋" w:hAnsi="仿宋" w:cs="宋体"/>
          <w:sz w:val="28"/>
          <w:szCs w:val="28"/>
          <w:lang w:val="en-US" w:eastAsia="zh-CN"/>
        </w:rPr>
        <w:t>.</w:t>
      </w:r>
      <w:r>
        <w:rPr>
          <w:rFonts w:hint="eastAsia" w:ascii="仿宋" w:hAnsi="仿宋" w:eastAsia="仿宋" w:cs="宋体"/>
          <w:sz w:val="28"/>
          <w:szCs w:val="28"/>
        </w:rPr>
        <w:t>供应商应认真审阅竞价文件中所有的事项、格式、条款和规范要求等，如果供应商没有按照竞价文件要求提交响应文件，或者响应文件没有对竞价文件做出实质性响应，其响应将被拒绝。</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cs="宋体"/>
          <w:sz w:val="28"/>
          <w:szCs w:val="28"/>
          <w:lang w:val="en-US" w:eastAsia="zh-CN"/>
        </w:rPr>
        <w:t>.</w:t>
      </w:r>
      <w:r>
        <w:rPr>
          <w:rFonts w:hint="eastAsia" w:ascii="仿宋" w:hAnsi="仿宋" w:eastAsia="仿宋" w:cs="宋体"/>
          <w:sz w:val="28"/>
          <w:szCs w:val="28"/>
        </w:rPr>
        <w:t>采购人可以对已发出的竞价文件进行必要的澄清或者修改，澄清或者修改的内容作为竞价文件的组成部分。澄清或者修改的内容可能影响响应文件编制的，采购人应当在提交首次响应文件截止之日前24小时，在海安人大网（</w:t>
      </w:r>
      <w:r>
        <w:rPr>
          <w:rFonts w:hint="eastAsia"/>
          <w:color w:val="auto"/>
          <w:szCs w:val="28"/>
          <w:u w:val="none"/>
        </w:rPr>
        <w:t>www.hardw.com</w:t>
      </w:r>
      <w:r>
        <w:rPr>
          <w:rFonts w:hint="eastAsia" w:ascii="仿宋" w:hAnsi="仿宋" w:eastAsia="仿宋" w:cs="宋体"/>
          <w:sz w:val="28"/>
          <w:szCs w:val="28"/>
        </w:rPr>
        <w:t>）网站发出修改通知。</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4</w:t>
      </w:r>
      <w:r>
        <w:rPr>
          <w:rFonts w:hint="eastAsia" w:ascii="仿宋" w:hAnsi="仿宋" w:cs="宋体"/>
          <w:sz w:val="28"/>
          <w:szCs w:val="28"/>
          <w:lang w:val="en-US" w:eastAsia="zh-CN"/>
        </w:rPr>
        <w:t>.</w:t>
      </w:r>
      <w:r>
        <w:rPr>
          <w:rFonts w:hint="eastAsia" w:ascii="仿宋" w:hAnsi="仿宋" w:eastAsia="仿宋" w:cs="宋体"/>
          <w:sz w:val="28"/>
          <w:szCs w:val="28"/>
        </w:rPr>
        <w:t>竞价供应商由于对竞价文件的任何推论和误解以及采购人对有关问题的口头解释所造成的后果，均由竞价供应商自负。</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5</w:t>
      </w:r>
      <w:r>
        <w:rPr>
          <w:rFonts w:hint="eastAsia" w:ascii="仿宋" w:hAnsi="仿宋" w:cs="宋体"/>
          <w:sz w:val="28"/>
          <w:szCs w:val="28"/>
          <w:lang w:val="en-US" w:eastAsia="zh-CN"/>
        </w:rPr>
        <w:t>.</w:t>
      </w:r>
      <w:r>
        <w:rPr>
          <w:rFonts w:hint="eastAsia" w:ascii="仿宋" w:hAnsi="仿宋" w:eastAsia="仿宋" w:cs="宋体"/>
          <w:sz w:val="28"/>
          <w:szCs w:val="28"/>
        </w:rPr>
        <w:t>竞价文件的解释权属于项目采购单位。</w:t>
      </w:r>
    </w:p>
    <w:p>
      <w:pPr>
        <w:pStyle w:val="2"/>
        <w:spacing w:line="460" w:lineRule="exact"/>
        <w:ind w:firstLine="560" w:firstLineChars="200"/>
        <w:rPr>
          <w:rFonts w:hint="eastAsia" w:ascii="黑体" w:hAnsi="黑体" w:eastAsia="黑体"/>
          <w:sz w:val="28"/>
          <w:szCs w:val="28"/>
          <w:lang w:eastAsia="zh-CN"/>
        </w:rPr>
      </w:pPr>
      <w:bookmarkStart w:id="33" w:name="_Toc46223138"/>
      <w:r>
        <w:rPr>
          <w:rFonts w:hint="eastAsia" w:ascii="黑体" w:hAnsi="黑体" w:eastAsia="黑体"/>
          <w:sz w:val="28"/>
          <w:szCs w:val="28"/>
          <w:lang w:eastAsia="zh-CN"/>
        </w:rPr>
        <w:t>二、响应文件的份数和签署</w:t>
      </w:r>
      <w:bookmarkEnd w:id="33"/>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w:t>
      </w:r>
      <w:r>
        <w:rPr>
          <w:rFonts w:hint="eastAsia" w:ascii="仿宋" w:hAnsi="仿宋" w:cs="宋体"/>
          <w:sz w:val="28"/>
          <w:szCs w:val="28"/>
          <w:lang w:val="en-US" w:eastAsia="zh-CN"/>
        </w:rPr>
        <w:t>.</w:t>
      </w:r>
      <w:r>
        <w:rPr>
          <w:rFonts w:hint="eastAsia" w:ascii="仿宋" w:hAnsi="仿宋" w:eastAsia="仿宋" w:cs="宋体"/>
          <w:sz w:val="28"/>
          <w:szCs w:val="28"/>
        </w:rPr>
        <w:t>竞价供应商应准备</w:t>
      </w:r>
      <w:r>
        <w:rPr>
          <w:rFonts w:hint="eastAsia" w:ascii="仿宋" w:hAnsi="仿宋" w:eastAsia="仿宋" w:cs="宋体"/>
          <w:sz w:val="28"/>
          <w:szCs w:val="28"/>
          <w:u w:val="single"/>
        </w:rPr>
        <w:t>叁</w:t>
      </w:r>
      <w:r>
        <w:rPr>
          <w:rFonts w:hint="eastAsia" w:ascii="仿宋" w:hAnsi="仿宋" w:eastAsia="仿宋" w:cs="宋体"/>
          <w:sz w:val="28"/>
          <w:szCs w:val="28"/>
        </w:rPr>
        <w:t>份完整的响应文件，其中正本</w:t>
      </w:r>
      <w:r>
        <w:rPr>
          <w:rFonts w:hint="eastAsia" w:ascii="仿宋" w:hAnsi="仿宋" w:eastAsia="仿宋" w:cs="宋体"/>
          <w:sz w:val="28"/>
          <w:szCs w:val="28"/>
          <w:u w:val="single"/>
        </w:rPr>
        <w:t xml:space="preserve"> 壹 </w:t>
      </w:r>
      <w:r>
        <w:rPr>
          <w:rFonts w:hint="eastAsia" w:ascii="仿宋" w:hAnsi="仿宋" w:eastAsia="仿宋" w:cs="宋体"/>
          <w:sz w:val="28"/>
          <w:szCs w:val="28"/>
        </w:rPr>
        <w:t>份，副本</w:t>
      </w:r>
      <w:r>
        <w:rPr>
          <w:rFonts w:hint="eastAsia" w:ascii="仿宋" w:hAnsi="仿宋" w:eastAsia="仿宋" w:cs="宋体"/>
          <w:sz w:val="28"/>
          <w:szCs w:val="28"/>
          <w:u w:val="single"/>
        </w:rPr>
        <w:t xml:space="preserve"> 贰 </w:t>
      </w:r>
      <w:r>
        <w:rPr>
          <w:rFonts w:hint="eastAsia" w:ascii="仿宋" w:hAnsi="仿宋" w:eastAsia="仿宋" w:cs="宋体"/>
          <w:sz w:val="28"/>
          <w:szCs w:val="28"/>
        </w:rPr>
        <w:t>份，并标明“正本”或“副本”字样。响应文件的密封加盖公章。</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2.</w:t>
      </w:r>
      <w:r>
        <w:rPr>
          <w:rFonts w:hint="eastAsia" w:ascii="仿宋" w:hAnsi="仿宋" w:eastAsia="仿宋" w:cs="宋体"/>
          <w:sz w:val="28"/>
          <w:szCs w:val="28"/>
        </w:rPr>
        <w:t>响应文件正本（须用不能擦去的墨水书写或打印）须按竞价文件要求由法定代表人或被授权人签字或盖章，并加盖单位印章。副本可复印，但须加盖单位印章。</w:t>
      </w:r>
    </w:p>
    <w:p>
      <w:pPr>
        <w:pStyle w:val="2"/>
        <w:spacing w:line="460" w:lineRule="exact"/>
        <w:ind w:firstLine="560" w:firstLineChars="200"/>
        <w:rPr>
          <w:rFonts w:hint="eastAsia" w:ascii="黑体" w:hAnsi="黑体" w:eastAsia="黑体"/>
          <w:sz w:val="28"/>
          <w:szCs w:val="28"/>
          <w:lang w:eastAsia="zh-CN"/>
        </w:rPr>
      </w:pPr>
      <w:bookmarkStart w:id="34" w:name="_Toc46223140"/>
      <w:r>
        <w:rPr>
          <w:rFonts w:hint="eastAsia" w:ascii="黑体" w:hAnsi="黑体" w:eastAsia="黑体"/>
          <w:sz w:val="28"/>
          <w:szCs w:val="28"/>
          <w:lang w:eastAsia="zh-CN"/>
        </w:rPr>
        <w:t>三、报价综合说明</w:t>
      </w:r>
      <w:bookmarkEnd w:id="34"/>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w:t>
      </w:r>
      <w:r>
        <w:rPr>
          <w:rFonts w:hint="eastAsia" w:ascii="仿宋" w:hAnsi="仿宋" w:cs="宋体"/>
          <w:sz w:val="28"/>
          <w:szCs w:val="28"/>
          <w:lang w:val="en-US" w:eastAsia="zh-CN"/>
        </w:rPr>
        <w:t>.</w:t>
      </w:r>
      <w:r>
        <w:rPr>
          <w:rFonts w:hint="eastAsia" w:ascii="仿宋" w:hAnsi="仿宋" w:eastAsia="仿宋" w:cs="宋体"/>
          <w:sz w:val="28"/>
          <w:szCs w:val="28"/>
        </w:rPr>
        <w:t>本项目报价均须以人民币为币种。一个标的只允许一个报价，不接受任何有选择性的报价。</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w:t>
      </w:r>
      <w:r>
        <w:rPr>
          <w:rFonts w:hint="eastAsia" w:ascii="仿宋" w:hAnsi="仿宋" w:cs="宋体"/>
          <w:sz w:val="28"/>
          <w:szCs w:val="28"/>
          <w:lang w:val="en-US" w:eastAsia="zh-CN"/>
        </w:rPr>
        <w:t>.</w:t>
      </w:r>
      <w:r>
        <w:rPr>
          <w:rFonts w:hint="eastAsia" w:ascii="仿宋" w:hAnsi="仿宋" w:eastAsia="仿宋" w:cs="宋体"/>
          <w:sz w:val="28"/>
          <w:szCs w:val="28"/>
        </w:rPr>
        <w:t>本项目采用固定单价方式，若非合同条款中另有规定，经竞价中标价格，在合同实施期间不因市场变化的任何因素而变动。</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cs="宋体"/>
          <w:sz w:val="28"/>
          <w:szCs w:val="28"/>
          <w:lang w:val="en-US" w:eastAsia="zh-CN"/>
        </w:rPr>
        <w:t>.</w:t>
      </w:r>
      <w:r>
        <w:rPr>
          <w:rFonts w:hint="eastAsia" w:ascii="仿宋" w:hAnsi="仿宋" w:eastAsia="仿宋" w:cs="宋体"/>
          <w:sz w:val="28"/>
          <w:szCs w:val="28"/>
        </w:rPr>
        <w:t>竞价报价表必须加盖公章且必须经法定代表人或被授权人签字或盖章。报价表中的大写金额与小写金额、总价金额与按单价汇总金额，若有差异，按价格低的算。</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4</w:t>
      </w:r>
      <w:r>
        <w:rPr>
          <w:rFonts w:hint="eastAsia" w:ascii="仿宋" w:hAnsi="仿宋" w:cs="宋体"/>
          <w:sz w:val="28"/>
          <w:szCs w:val="28"/>
          <w:lang w:val="en-US" w:eastAsia="zh-CN"/>
        </w:rPr>
        <w:t>.</w:t>
      </w:r>
      <w:r>
        <w:rPr>
          <w:rFonts w:hint="eastAsia" w:ascii="仿宋" w:hAnsi="仿宋" w:eastAsia="仿宋" w:cs="宋体"/>
          <w:sz w:val="28"/>
          <w:szCs w:val="28"/>
        </w:rPr>
        <w:t>竞价供应商应详细阅读竞价文件的全部内容，根据采购项目需求，准确制定相关服务方案等，必须对本采购项目全部进行报价，如有漏项，视同对本项目的优惠。</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5</w:t>
      </w:r>
      <w:r>
        <w:rPr>
          <w:rFonts w:hint="eastAsia" w:ascii="仿宋" w:hAnsi="仿宋" w:cs="宋体"/>
          <w:sz w:val="28"/>
          <w:szCs w:val="28"/>
          <w:lang w:val="en-US" w:eastAsia="zh-CN"/>
        </w:rPr>
        <w:t>.</w:t>
      </w:r>
      <w:r>
        <w:rPr>
          <w:rFonts w:hint="eastAsia" w:ascii="仿宋" w:hAnsi="仿宋" w:eastAsia="仿宋" w:cs="宋体"/>
          <w:sz w:val="28"/>
          <w:szCs w:val="28"/>
        </w:rPr>
        <w:t>合格供应商对</w:t>
      </w:r>
      <w:r>
        <w:rPr>
          <w:rFonts w:hint="eastAsia" w:ascii="仿宋" w:hAnsi="仿宋" w:cs="宋体"/>
          <w:sz w:val="28"/>
          <w:szCs w:val="28"/>
          <w:lang w:eastAsia="zh-CN"/>
        </w:rPr>
        <w:t>竞价</w:t>
      </w:r>
      <w:r>
        <w:rPr>
          <w:rFonts w:hint="eastAsia" w:ascii="仿宋" w:hAnsi="仿宋" w:eastAsia="仿宋" w:cs="宋体"/>
          <w:sz w:val="28"/>
          <w:szCs w:val="28"/>
        </w:rPr>
        <w:t>项目作出现场报价（含最终报价），现场报价不少于一轮。供应商的现场报价在货物（服务）数量没有增加，配置、服务标准没有重大提高的情况下，各供应商的现场第一轮报价不得高于其竞价文件中的书面报价且下一轮报价不得高于上一轮报价。否则，竞价小组有权拒绝该竞价报价并不再给予报价补救机会。</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6</w:t>
      </w:r>
      <w:r>
        <w:rPr>
          <w:rFonts w:hint="eastAsia" w:ascii="仿宋" w:hAnsi="仿宋" w:cs="宋体"/>
          <w:sz w:val="28"/>
          <w:szCs w:val="28"/>
          <w:lang w:val="en-US" w:eastAsia="zh-CN"/>
        </w:rPr>
        <w:t>.</w:t>
      </w:r>
      <w:r>
        <w:rPr>
          <w:rFonts w:hint="eastAsia" w:ascii="仿宋" w:hAnsi="仿宋" w:eastAsia="仿宋" w:cs="宋体"/>
          <w:sz w:val="28"/>
          <w:szCs w:val="28"/>
        </w:rPr>
        <w:t>竞价响应报价包括：竞价供应商响应本项目服务及完成本项目工作所需的一切费用，包括响应及完成委托服务所需的一切费用，包含但不限于</w:t>
      </w:r>
      <w:r>
        <w:rPr>
          <w:rFonts w:ascii="仿宋" w:hAnsi="仿宋" w:eastAsia="仿宋" w:cs="宋体"/>
          <w:sz w:val="28"/>
          <w:szCs w:val="28"/>
        </w:rPr>
        <w:t>设备及其备品、备件和专用工具费用、税费（如包括关税、进口货物、所用原材料、零部件的各种国内外税费）及包装、运至最终目的地的运输、保险、售后服务及相关劳务支出等工作所发生的全部费用以及报价人企业利润、税金和政策性文件规定及合同包含的所有风险、责任等各项应有费用。</w:t>
      </w:r>
    </w:p>
    <w:p>
      <w:pPr>
        <w:pStyle w:val="2"/>
        <w:spacing w:line="460" w:lineRule="exact"/>
        <w:ind w:firstLine="560" w:firstLineChars="200"/>
        <w:rPr>
          <w:rFonts w:hint="eastAsia" w:ascii="黑体" w:hAnsi="黑体" w:eastAsia="黑体"/>
          <w:sz w:val="28"/>
          <w:szCs w:val="28"/>
          <w:lang w:eastAsia="zh-CN"/>
        </w:rPr>
      </w:pPr>
      <w:bookmarkStart w:id="35" w:name="_Toc46223141"/>
      <w:r>
        <w:rPr>
          <w:rFonts w:hint="eastAsia" w:ascii="黑体" w:hAnsi="黑体" w:eastAsia="黑体"/>
          <w:sz w:val="28"/>
          <w:szCs w:val="28"/>
          <w:lang w:eastAsia="zh-CN"/>
        </w:rPr>
        <w:t>四、响应文件的递交时间</w:t>
      </w:r>
      <w:bookmarkEnd w:id="35"/>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供应商必须在规定的响应文件接收截止时间前将响应文件送达至指定地点。采购人将拒绝接收在响应文件接收截止时间后递交的响应文件。</w:t>
      </w:r>
    </w:p>
    <w:p>
      <w:pPr>
        <w:pStyle w:val="2"/>
        <w:spacing w:line="460" w:lineRule="exact"/>
        <w:ind w:firstLine="560" w:firstLineChars="200"/>
        <w:rPr>
          <w:rFonts w:hint="eastAsia" w:ascii="黑体" w:hAnsi="黑体" w:eastAsia="黑体"/>
          <w:sz w:val="28"/>
          <w:szCs w:val="28"/>
          <w:lang w:eastAsia="zh-CN"/>
        </w:rPr>
      </w:pPr>
      <w:bookmarkStart w:id="36" w:name="_Toc46223143"/>
      <w:r>
        <w:rPr>
          <w:rFonts w:hint="eastAsia" w:ascii="黑体" w:hAnsi="黑体" w:eastAsia="黑体"/>
          <w:sz w:val="28"/>
          <w:szCs w:val="28"/>
          <w:lang w:eastAsia="zh-CN"/>
        </w:rPr>
        <w:t>五、竞价响应文件及竞价谈判费用</w:t>
      </w:r>
      <w:bookmarkEnd w:id="36"/>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w:t>
      </w:r>
      <w:r>
        <w:rPr>
          <w:rFonts w:hint="eastAsia" w:ascii="仿宋" w:hAnsi="仿宋" w:cs="宋体"/>
          <w:sz w:val="28"/>
          <w:szCs w:val="28"/>
          <w:lang w:val="en-US" w:eastAsia="zh-CN"/>
        </w:rPr>
        <w:t>.</w:t>
      </w:r>
      <w:r>
        <w:rPr>
          <w:rFonts w:hint="eastAsia" w:ascii="仿宋" w:hAnsi="仿宋" w:eastAsia="仿宋" w:cs="宋体"/>
          <w:sz w:val="28"/>
          <w:szCs w:val="28"/>
        </w:rPr>
        <w:t>竞价程序顺利进行后，所有的竞价响应文件都将作为档案保存，不论成交与否均不退回。</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w:t>
      </w:r>
      <w:r>
        <w:rPr>
          <w:rFonts w:hint="eastAsia" w:ascii="仿宋" w:hAnsi="仿宋" w:cs="宋体"/>
          <w:sz w:val="28"/>
          <w:szCs w:val="28"/>
          <w:lang w:val="en-US" w:eastAsia="zh-CN"/>
        </w:rPr>
        <w:t>.</w:t>
      </w:r>
      <w:r>
        <w:rPr>
          <w:rFonts w:hint="eastAsia" w:ascii="仿宋" w:hAnsi="仿宋" w:eastAsia="仿宋" w:cs="宋体"/>
          <w:sz w:val="28"/>
          <w:szCs w:val="28"/>
        </w:rPr>
        <w:t>无论竞价过程和结果如何，参加竞价的供应商自行承担与本次项目竞价有关的全部费用。</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cs="宋体"/>
          <w:sz w:val="28"/>
          <w:szCs w:val="28"/>
          <w:lang w:val="en-US" w:eastAsia="zh-CN"/>
        </w:rPr>
        <w:t>.</w:t>
      </w:r>
      <w:r>
        <w:rPr>
          <w:rFonts w:hint="eastAsia" w:ascii="仿宋" w:hAnsi="仿宋" w:eastAsia="仿宋" w:cs="宋体"/>
          <w:sz w:val="28"/>
          <w:szCs w:val="28"/>
        </w:rPr>
        <w:t>竞价文件未列明，而竞价供应商认为必需的费用也需列入报价。</w:t>
      </w:r>
    </w:p>
    <w:p>
      <w:pPr>
        <w:pStyle w:val="2"/>
        <w:spacing w:line="460" w:lineRule="exact"/>
        <w:ind w:firstLine="560" w:firstLineChars="200"/>
        <w:rPr>
          <w:rFonts w:hint="eastAsia" w:ascii="黑体" w:hAnsi="黑体" w:eastAsia="黑体"/>
          <w:sz w:val="28"/>
          <w:szCs w:val="28"/>
          <w:lang w:eastAsia="zh-CN"/>
        </w:rPr>
      </w:pPr>
      <w:r>
        <w:rPr>
          <w:rFonts w:hint="eastAsia" w:ascii="黑体" w:hAnsi="黑体" w:eastAsia="黑体"/>
          <w:sz w:val="28"/>
          <w:szCs w:val="28"/>
          <w:lang w:eastAsia="zh-CN"/>
        </w:rPr>
        <w:t>六、付款方式</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【特别提醒】付款方式不接受负偏离及任何意图改变付款方式的意图表达，否则作无效竞价处理。</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1.</w:t>
      </w:r>
      <w:r>
        <w:rPr>
          <w:rFonts w:ascii="仿宋" w:hAnsi="仿宋" w:eastAsia="仿宋" w:cs="宋体"/>
          <w:sz w:val="28"/>
          <w:szCs w:val="28"/>
        </w:rPr>
        <w:t>自合同签订生效后，乙方</w:t>
      </w:r>
      <w:r>
        <w:rPr>
          <w:rFonts w:hint="eastAsia" w:ascii="仿宋" w:hAnsi="仿宋" w:cs="宋体"/>
          <w:sz w:val="28"/>
          <w:szCs w:val="28"/>
          <w:lang w:eastAsia="zh-CN"/>
        </w:rPr>
        <w:t>上线</w:t>
      </w:r>
      <w:r>
        <w:rPr>
          <w:rFonts w:ascii="仿宋" w:hAnsi="仿宋" w:eastAsia="仿宋" w:cs="宋体"/>
          <w:sz w:val="28"/>
          <w:szCs w:val="28"/>
        </w:rPr>
        <w:t>后，由甲方向乙方支付金额</w:t>
      </w:r>
      <w:r>
        <w:rPr>
          <w:rFonts w:hint="eastAsia" w:ascii="仿宋" w:hAnsi="仿宋" w:cs="宋体"/>
          <w:sz w:val="28"/>
          <w:szCs w:val="28"/>
          <w:lang w:val="en-US" w:eastAsia="zh-CN"/>
        </w:rPr>
        <w:t>6.3万元</w:t>
      </w:r>
      <w:r>
        <w:rPr>
          <w:rFonts w:ascii="仿宋" w:hAnsi="仿宋" w:eastAsia="仿宋" w:cs="宋体"/>
          <w:sz w:val="28"/>
          <w:szCs w:val="28"/>
        </w:rPr>
        <w:t>，</w:t>
      </w:r>
      <w:r>
        <w:rPr>
          <w:rFonts w:hint="eastAsia" w:ascii="仿宋" w:hAnsi="仿宋" w:cs="宋体"/>
          <w:sz w:val="28"/>
          <w:szCs w:val="28"/>
          <w:lang w:eastAsia="zh-CN"/>
        </w:rPr>
        <w:t>余款待做甲方验收，通过第三方渗透测试检测报告并获得该软件的著作权证书后付清。</w:t>
      </w:r>
      <w:r>
        <w:rPr>
          <w:rFonts w:ascii="仿宋" w:hAnsi="仿宋" w:eastAsia="仿宋" w:cs="宋体"/>
          <w:sz w:val="28"/>
          <w:szCs w:val="28"/>
        </w:rPr>
        <w:t>货款结算时，</w:t>
      </w:r>
      <w:r>
        <w:rPr>
          <w:rFonts w:hint="eastAsia" w:ascii="仿宋" w:hAnsi="仿宋" w:cs="宋体"/>
          <w:sz w:val="28"/>
          <w:szCs w:val="28"/>
          <w:lang w:eastAsia="zh-CN"/>
        </w:rPr>
        <w:t>乙方</w:t>
      </w:r>
      <w:r>
        <w:rPr>
          <w:rFonts w:ascii="仿宋" w:hAnsi="仿宋" w:eastAsia="仿宋" w:cs="宋体"/>
          <w:sz w:val="28"/>
          <w:szCs w:val="28"/>
        </w:rPr>
        <w:t>需提供：</w:t>
      </w:r>
      <w:r>
        <w:rPr>
          <w:rFonts w:hint="eastAsia" w:ascii="仿宋" w:hAnsi="仿宋" w:eastAsia="仿宋" w:cs="宋体"/>
          <w:sz w:val="28"/>
          <w:szCs w:val="28"/>
        </w:rPr>
        <w:t>增值税普通发票</w:t>
      </w:r>
      <w:r>
        <w:rPr>
          <w:rFonts w:ascii="仿宋" w:hAnsi="仿宋" w:eastAsia="仿宋" w:cs="宋体"/>
          <w:sz w:val="28"/>
          <w:szCs w:val="28"/>
        </w:rPr>
        <w:t>。</w:t>
      </w:r>
    </w:p>
    <w:p>
      <w:pPr>
        <w:pStyle w:val="2"/>
        <w:rPr>
          <w:rFonts w:ascii="仿宋" w:hAnsi="仿宋" w:eastAsia="仿宋" w:cs="宋体"/>
          <w:sz w:val="28"/>
          <w:szCs w:val="28"/>
        </w:rPr>
      </w:pPr>
    </w:p>
    <w:p>
      <w:pPr>
        <w:overflowPunct/>
        <w:spacing w:line="460" w:lineRule="exact"/>
        <w:ind w:firstLine="540"/>
        <w:rPr>
          <w:rFonts w:ascii="仿宋" w:hAnsi="仿宋" w:eastAsia="仿宋" w:cs="宋体"/>
          <w:sz w:val="28"/>
          <w:szCs w:val="28"/>
        </w:rPr>
      </w:pPr>
      <w:r>
        <w:rPr>
          <w:rFonts w:ascii="仿宋" w:hAnsi="仿宋" w:eastAsia="仿宋" w:cs="宋体"/>
          <w:sz w:val="28"/>
          <w:szCs w:val="28"/>
        </w:rPr>
        <w:t>2</w:t>
      </w:r>
      <w:r>
        <w:rPr>
          <w:rFonts w:hint="eastAsia" w:ascii="仿宋" w:hAnsi="仿宋" w:cs="宋体"/>
          <w:sz w:val="28"/>
          <w:szCs w:val="28"/>
          <w:lang w:eastAsia="zh-CN"/>
        </w:rPr>
        <w:t>.</w:t>
      </w:r>
      <w:r>
        <w:rPr>
          <w:rFonts w:ascii="仿宋" w:hAnsi="仿宋" w:eastAsia="仿宋" w:cs="宋体"/>
          <w:sz w:val="28"/>
          <w:szCs w:val="28"/>
        </w:rPr>
        <w:t>最终以双方签订的采购合同内确定付款条件为准。</w:t>
      </w:r>
    </w:p>
    <w:p>
      <w:pPr>
        <w:pStyle w:val="2"/>
        <w:rPr>
          <w:rFonts w:hint="eastAsia"/>
        </w:rPr>
      </w:pPr>
    </w:p>
    <w:p>
      <w:pPr>
        <w:adjustRightInd/>
        <w:snapToGrid w:val="0"/>
        <w:spacing w:line="360" w:lineRule="auto"/>
        <w:jc w:val="center"/>
        <w:outlineLvl w:val="0"/>
        <w:rPr>
          <w:rFonts w:hint="eastAsia" w:ascii="仿宋" w:hAnsi="仿宋" w:eastAsia="仿宋" w:cs="宋体"/>
          <w:b/>
          <w:sz w:val="36"/>
          <w:szCs w:val="30"/>
        </w:rPr>
      </w:pPr>
      <w:bookmarkStart w:id="37" w:name="_Toc46223146"/>
      <w:r>
        <w:rPr>
          <w:rFonts w:hint="eastAsia" w:ascii="仿宋" w:hAnsi="仿宋" w:eastAsia="仿宋" w:cs="宋体"/>
          <w:b/>
          <w:sz w:val="36"/>
          <w:szCs w:val="30"/>
        </w:rPr>
        <w:t>第三部分  项目需求及相关要求</w:t>
      </w:r>
      <w:bookmarkEnd w:id="37"/>
    </w:p>
    <w:p>
      <w:pPr>
        <w:pStyle w:val="13"/>
        <w:snapToGrid w:val="0"/>
        <w:spacing w:line="300" w:lineRule="auto"/>
        <w:ind w:firstLine="640"/>
        <w:rPr>
          <w:rFonts w:hint="eastAsia" w:ascii="黑体" w:eastAsia="黑体"/>
          <w:color w:val="000000" w:themeColor="text1"/>
          <w:sz w:val="28"/>
          <w:szCs w:val="28"/>
          <w14:textFill>
            <w14:solidFill>
              <w14:schemeClr w14:val="tx1"/>
            </w14:solidFill>
          </w14:textFill>
        </w:rPr>
      </w:pPr>
      <w:r>
        <w:rPr>
          <w:rFonts w:hint="eastAsia" w:ascii="华文中宋" w:hAnsi="华文中宋" w:eastAsia="华文中宋"/>
          <w:color w:val="333333"/>
          <w:sz w:val="28"/>
          <w:szCs w:val="28"/>
          <w:shd w:val="clear" w:color="auto" w:fill="FFFFFF"/>
          <w:lang w:eastAsia="zh-CN"/>
        </w:rPr>
        <w:t>一、</w:t>
      </w:r>
      <w:bookmarkStart w:id="38" w:name="_Toc375143779"/>
      <w:bookmarkStart w:id="39" w:name="_Toc407560821"/>
      <w:bookmarkStart w:id="40" w:name="_Toc212419334"/>
      <w:bookmarkStart w:id="41" w:name="_Toc375084362"/>
      <w:r>
        <w:rPr>
          <w:rFonts w:hint="eastAsia" w:ascii="黑体" w:eastAsia="黑体"/>
          <w:color w:val="000000" w:themeColor="text1"/>
          <w:sz w:val="28"/>
          <w:szCs w:val="28"/>
          <w14:textFill>
            <w14:solidFill>
              <w14:schemeClr w14:val="tx1"/>
            </w14:solidFill>
          </w14:textFill>
        </w:rPr>
        <w:t>方案目标</w:t>
      </w:r>
      <w:bookmarkEnd w:id="38"/>
      <w:bookmarkEnd w:id="39"/>
      <w:bookmarkEnd w:id="40"/>
      <w:bookmarkEnd w:id="41"/>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通过建设海安市推进法律法规全面有效实施管理系统，实现如下目标：</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1.建立法律法规库。</w:t>
      </w:r>
    </w:p>
    <w:p>
      <w:pPr>
        <w:pStyle w:val="13"/>
        <w:snapToGrid w:val="0"/>
        <w:spacing w:line="300" w:lineRule="auto"/>
        <w:ind w:firstLine="64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同步更新国家法律法规库内与南通市相关的法律法规，形成当地法律法规库，实现法律法规全面有效实施覆盖。</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2.形成三张清单。</w:t>
      </w:r>
    </w:p>
    <w:p>
      <w:pPr>
        <w:pStyle w:val="13"/>
        <w:snapToGrid w:val="0"/>
        <w:spacing w:line="300" w:lineRule="auto"/>
        <w:ind w:firstLine="640"/>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通过法律法规研读，形成各部门法律全面有效实施清单、职责清单、措施清单。</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3.法律法规实时查询。</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建设移动端法律法规实施查询模块，方便法律法规有效推进过程中信息检索。</w:t>
      </w:r>
    </w:p>
    <w:p>
      <w:pPr>
        <w:pStyle w:val="13"/>
        <w:snapToGrid w:val="0"/>
        <w:spacing w:line="300" w:lineRule="auto"/>
        <w:ind w:firstLine="640"/>
        <w:rPr>
          <w:rFonts w:hint="eastAsia" w:ascii="黑体" w:eastAsia="黑体"/>
          <w:color w:val="000000" w:themeColor="text1"/>
          <w:sz w:val="28"/>
          <w:szCs w:val="28"/>
          <w14:textFill>
            <w14:solidFill>
              <w14:schemeClr w14:val="tx1"/>
            </w14:solidFill>
          </w14:textFill>
        </w:rPr>
      </w:pPr>
      <w:bookmarkStart w:id="42" w:name="_Toc407560841"/>
      <w:bookmarkStart w:id="43" w:name="总体架构"/>
      <w:bookmarkStart w:id="44" w:name="_Toc375143799"/>
      <w:bookmarkStart w:id="45" w:name="_Toc375084377"/>
      <w:bookmarkStart w:id="46" w:name="_Toc758500823"/>
      <w:r>
        <w:rPr>
          <w:rFonts w:hint="eastAsia" w:ascii="黑体" w:eastAsia="黑体"/>
          <w:color w:val="000000" w:themeColor="text1"/>
          <w:sz w:val="28"/>
          <w:szCs w:val="28"/>
          <w:lang w:val="en-US" w:eastAsia="zh-CN"/>
          <w14:textFill>
            <w14:solidFill>
              <w14:schemeClr w14:val="tx1"/>
            </w14:solidFill>
          </w14:textFill>
        </w:rPr>
        <w:t>二、</w:t>
      </w:r>
      <w:r>
        <w:rPr>
          <w:rFonts w:hint="eastAsia" w:ascii="黑体" w:eastAsia="黑体"/>
          <w:color w:val="000000" w:themeColor="text1"/>
          <w:sz w:val="28"/>
          <w:szCs w:val="28"/>
          <w14:textFill>
            <w14:solidFill>
              <w14:schemeClr w14:val="tx1"/>
            </w14:solidFill>
          </w14:textFill>
        </w:rPr>
        <w:t>总体架构</w:t>
      </w:r>
      <w:bookmarkEnd w:id="42"/>
      <w:bookmarkEnd w:id="43"/>
      <w:bookmarkEnd w:id="44"/>
      <w:bookmarkEnd w:id="45"/>
      <w:r>
        <w:rPr>
          <w:rFonts w:hint="eastAsia" w:ascii="黑体" w:eastAsia="黑体"/>
          <w:color w:val="000000" w:themeColor="text1"/>
          <w:sz w:val="28"/>
          <w:szCs w:val="28"/>
          <w14:textFill>
            <w14:solidFill>
              <w14:schemeClr w14:val="tx1"/>
            </w14:solidFill>
          </w14:textFill>
        </w:rPr>
        <w:t>设计</w:t>
      </w:r>
      <w:bookmarkEnd w:id="46"/>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bookmarkStart w:id="47" w:name="_Toc225849039"/>
      <w:bookmarkEnd w:id="47"/>
      <w:bookmarkStart w:id="48" w:name="_Toc206557995"/>
      <w:bookmarkEnd w:id="48"/>
      <w:bookmarkStart w:id="49" w:name="_Toc225838143"/>
      <w:bookmarkEnd w:id="49"/>
      <w:r>
        <w:rPr>
          <w:rFonts w:hint="eastAsia" w:ascii="仿宋_GB2312" w:eastAsia="仿宋_GB2312"/>
          <w:color w:val="000000" w:themeColor="text1"/>
          <w:sz w:val="28"/>
          <w:szCs w:val="28"/>
          <w:lang w:val="en-US" w:eastAsia="zh-CN"/>
          <w14:textFill>
            <w14:solidFill>
              <w14:schemeClr w14:val="tx1"/>
            </w14:solidFill>
          </w14:textFill>
        </w:rPr>
        <w:t>系统采用面向服务的体系架构（SOA）设计，采用多层结构体系，基础层、数据层、业务层，层层分开；支持LDAP目录访问协议；支持主流的数据库系统；具有分布式事务功能；支持消息服务；支持组件化开发；具有良好的安全性；支持负载均衡和群集技术，提供良好的可扩展性和容错性。</w:t>
      </w:r>
    </w:p>
    <w:p>
      <w:pPr>
        <w:pStyle w:val="13"/>
        <w:snapToGrid w:val="0"/>
        <w:spacing w:line="300" w:lineRule="auto"/>
        <w:ind w:firstLine="640"/>
        <w:rPr>
          <w:rFonts w:hint="default" w:ascii="仿宋_GB2312" w:eastAsia="仿宋_GB2312"/>
          <w:color w:val="000000" w:themeColor="text1"/>
          <w:sz w:val="28"/>
          <w:szCs w:val="28"/>
          <w:lang w:val="en-US" w:eastAsia="zh-Hans"/>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本次项目建设基于海安市电子政务应用平台协同办公系统进行二次开发，通过单点登录技术实现本系统登录，使用政务协同系统组织架构，进行人员系统使用权限控制。系统需是部署在国产化服务器上，</w:t>
      </w:r>
      <w:bookmarkStart w:id="50" w:name="_Toc2074668331"/>
      <w:r>
        <w:rPr>
          <w:rFonts w:hint="eastAsia" w:ascii="仿宋_GB2312" w:eastAsia="仿宋_GB2312"/>
          <w:color w:val="000000" w:themeColor="text1"/>
          <w:sz w:val="28"/>
          <w:szCs w:val="28"/>
          <w:lang w:val="en-US" w:eastAsia="zh-CN"/>
          <w14:textFill>
            <w14:solidFill>
              <w14:schemeClr w14:val="tx1"/>
            </w14:solidFill>
          </w14:textFill>
        </w:rPr>
        <w:t>国产化</w:t>
      </w:r>
      <w:r>
        <w:rPr>
          <w:rFonts w:hint="eastAsia" w:ascii="仿宋_GB2312" w:eastAsia="仿宋_GB2312"/>
          <w:color w:val="000000" w:themeColor="text1"/>
          <w:sz w:val="28"/>
          <w:szCs w:val="28"/>
          <w:lang w:val="en-US" w:eastAsia="zh-Hans"/>
          <w14:textFill>
            <w14:solidFill>
              <w14:schemeClr w14:val="tx1"/>
            </w14:solidFill>
          </w14:textFill>
        </w:rPr>
        <w:t>环境</w:t>
      </w:r>
      <w:r>
        <w:rPr>
          <w:rFonts w:hint="eastAsia" w:ascii="仿宋_GB2312" w:eastAsia="仿宋_GB2312"/>
          <w:color w:val="000000" w:themeColor="text1"/>
          <w:sz w:val="28"/>
          <w:szCs w:val="28"/>
          <w:lang w:val="en-US" w:eastAsia="zh-CN"/>
          <w14:textFill>
            <w14:solidFill>
              <w14:schemeClr w14:val="tx1"/>
            </w14:solidFill>
          </w14:textFill>
        </w:rPr>
        <w:t>适配</w:t>
      </w:r>
      <w:bookmarkEnd w:id="50"/>
      <w:r>
        <w:rPr>
          <w:rFonts w:hint="eastAsia" w:ascii="仿宋_GB2312" w:eastAsia="仿宋_GB2312"/>
          <w:color w:val="000000" w:themeColor="text1"/>
          <w:sz w:val="28"/>
          <w:szCs w:val="28"/>
          <w:lang w:val="en-US" w:eastAsia="zh-Hans"/>
          <w14:textFill>
            <w14:solidFill>
              <w14:schemeClr w14:val="tx1"/>
            </w14:solidFill>
          </w14:textFill>
        </w:rPr>
        <w:t>系统按照</w:t>
      </w:r>
      <w:r>
        <w:rPr>
          <w:rFonts w:hint="eastAsia" w:ascii="仿宋_GB2312" w:eastAsia="仿宋_GB2312"/>
          <w:color w:val="000000" w:themeColor="text1"/>
          <w:sz w:val="28"/>
          <w:szCs w:val="28"/>
          <w:lang w:val="en-US" w:eastAsia="zh-CN"/>
          <w14:textFill>
            <w14:solidFill>
              <w14:schemeClr w14:val="tx1"/>
            </w14:solidFill>
          </w14:textFill>
        </w:rPr>
        <w:t>国产化</w:t>
      </w:r>
      <w:r>
        <w:rPr>
          <w:rFonts w:hint="eastAsia" w:ascii="仿宋_GB2312" w:eastAsia="仿宋_GB2312"/>
          <w:color w:val="000000" w:themeColor="text1"/>
          <w:sz w:val="28"/>
          <w:szCs w:val="28"/>
          <w:lang w:val="en-US" w:eastAsia="zh-Hans"/>
          <w14:textFill>
            <w14:solidFill>
              <w14:schemeClr w14:val="tx1"/>
            </w14:solidFill>
          </w14:textFill>
        </w:rPr>
        <w:t>要求进行开发，使用国产</w:t>
      </w:r>
      <w:r>
        <w:rPr>
          <w:rFonts w:hint="eastAsia" w:ascii="仿宋_GB2312" w:eastAsia="仿宋_GB2312"/>
          <w:color w:val="000000" w:themeColor="text1"/>
          <w:sz w:val="28"/>
          <w:szCs w:val="28"/>
          <w:lang w:val="en-US" w:eastAsia="zh-CN"/>
          <w14:textFill>
            <w14:solidFill>
              <w14:schemeClr w14:val="tx1"/>
            </w14:solidFill>
          </w14:textFill>
        </w:rPr>
        <w:t>化</w:t>
      </w:r>
      <w:r>
        <w:rPr>
          <w:rFonts w:hint="eastAsia" w:ascii="仿宋_GB2312" w:eastAsia="仿宋_GB2312"/>
          <w:color w:val="000000" w:themeColor="text1"/>
          <w:sz w:val="28"/>
          <w:szCs w:val="28"/>
          <w:lang w:val="en-US" w:eastAsia="zh-Hans"/>
          <w14:textFill>
            <w14:solidFill>
              <w14:schemeClr w14:val="tx1"/>
            </w14:solidFill>
          </w14:textFill>
        </w:rPr>
        <w:t>服务器（国产芯片、国产操作系统）、国产数据库、国产中间件、国产流式文件、国产版式文件。</w:t>
      </w:r>
      <w:r>
        <w:rPr>
          <w:rFonts w:hint="eastAsia" w:ascii="仿宋_GB2312" w:eastAsia="仿宋_GB2312"/>
          <w:color w:val="000000" w:themeColor="text1"/>
          <w:sz w:val="28"/>
          <w:szCs w:val="28"/>
          <w:lang w:val="en-US" w:eastAsia="zh-CN"/>
          <w14:textFill>
            <w14:solidFill>
              <w14:schemeClr w14:val="tx1"/>
            </w14:solidFill>
          </w14:textFill>
        </w:rPr>
        <w:t>国产化</w:t>
      </w:r>
      <w:r>
        <w:rPr>
          <w:rFonts w:hint="eastAsia" w:ascii="仿宋_GB2312" w:eastAsia="仿宋_GB2312"/>
          <w:color w:val="000000" w:themeColor="text1"/>
          <w:sz w:val="28"/>
          <w:szCs w:val="28"/>
          <w:lang w:val="en-US" w:eastAsia="zh-Hans"/>
          <w14:textFill>
            <w14:solidFill>
              <w14:schemeClr w14:val="tx1"/>
            </w14:solidFill>
          </w14:textFill>
        </w:rPr>
        <w:t>适配后能够同时在国产电脑</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lang w:val="en-US" w:eastAsia="zh-Hans"/>
          <w14:textFill>
            <w14:solidFill>
              <w14:schemeClr w14:val="tx1"/>
            </w14:solidFill>
          </w14:textFill>
        </w:rPr>
        <w:t>windows电脑</w:t>
      </w:r>
      <w:r>
        <w:rPr>
          <w:rFonts w:hint="eastAsia" w:ascii="仿宋_GB2312" w:eastAsia="仿宋_GB2312"/>
          <w:color w:val="000000" w:themeColor="text1"/>
          <w:sz w:val="28"/>
          <w:szCs w:val="28"/>
          <w:lang w:val="en-US" w:eastAsia="zh-CN"/>
          <w14:textFill>
            <w14:solidFill>
              <w14:schemeClr w14:val="tx1"/>
            </w14:solidFill>
          </w14:textFill>
        </w:rPr>
        <w:t>和移动端三</w:t>
      </w:r>
      <w:r>
        <w:rPr>
          <w:rFonts w:hint="eastAsia" w:ascii="仿宋_GB2312" w:eastAsia="仿宋_GB2312"/>
          <w:color w:val="000000" w:themeColor="text1"/>
          <w:sz w:val="28"/>
          <w:szCs w:val="28"/>
          <w:lang w:val="en-US" w:eastAsia="zh-Hans"/>
          <w14:textFill>
            <w14:solidFill>
              <w14:schemeClr w14:val="tx1"/>
            </w14:solidFill>
          </w14:textFill>
        </w:rPr>
        <w:t>个环境中使用。</w:t>
      </w:r>
    </w:p>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br w:type="page"/>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架构图如下：</w:t>
      </w:r>
      <w:bookmarkStart w:id="51" w:name="_Toc156447787"/>
      <w:bookmarkEnd w:id="51"/>
      <w:bookmarkStart w:id="52" w:name="_Toc220148148"/>
      <w:bookmarkEnd w:id="52"/>
      <w:bookmarkStart w:id="53" w:name="_Toc219693417"/>
      <w:bookmarkEnd w:id="53"/>
      <w:bookmarkStart w:id="54" w:name="_Toc279345045"/>
      <w:bookmarkEnd w:id="54"/>
      <w:bookmarkStart w:id="55" w:name="_Toc20372"/>
      <w:bookmarkEnd w:id="55"/>
      <w:bookmarkStart w:id="56" w:name="_Toc16833"/>
      <w:bookmarkEnd w:id="56"/>
      <w:bookmarkStart w:id="57" w:name="_Toc279345046"/>
      <w:bookmarkEnd w:id="57"/>
      <w:bookmarkStart w:id="58" w:name="_Toc300586146"/>
      <w:bookmarkEnd w:id="58"/>
    </w:p>
    <w:p>
      <w:pPr>
        <w:pStyle w:val="46"/>
        <w:spacing w:line="360" w:lineRule="auto"/>
        <w:jc w:val="center"/>
      </w:pPr>
      <w:r>
        <w:drawing>
          <wp:inline distT="0" distB="0" distL="114300" distR="114300">
            <wp:extent cx="5600700" cy="3173095"/>
            <wp:effectExtent l="0" t="0" r="0" b="825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4"/>
                    <a:stretch>
                      <a:fillRect/>
                    </a:stretch>
                  </pic:blipFill>
                  <pic:spPr>
                    <a:xfrm>
                      <a:off x="0" y="0"/>
                      <a:ext cx="5600700" cy="3173095"/>
                    </a:xfrm>
                    <a:prstGeom prst="rect">
                      <a:avLst/>
                    </a:prstGeom>
                    <a:noFill/>
                    <a:ln>
                      <a:noFill/>
                    </a:ln>
                  </pic:spPr>
                </pic:pic>
              </a:graphicData>
            </a:graphic>
          </wp:inline>
        </w:drawing>
      </w:r>
    </w:p>
    <w:p>
      <w:pPr>
        <w:pStyle w:val="46"/>
        <w:spacing w:line="360" w:lineRule="auto"/>
        <w:jc w:val="center"/>
        <w:rPr>
          <w:rFonts w:hint="eastAsia"/>
          <w:lang w:val="en-US" w:eastAsia="zh-CN"/>
        </w:rPr>
      </w:pPr>
    </w:p>
    <w:p>
      <w:pPr>
        <w:pStyle w:val="13"/>
        <w:snapToGrid w:val="0"/>
        <w:spacing w:line="300" w:lineRule="auto"/>
        <w:ind w:firstLine="64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业务逻辑流程图如下：</w:t>
      </w:r>
    </w:p>
    <w:p>
      <w:pPr>
        <w:pStyle w:val="46"/>
        <w:spacing w:line="360" w:lineRule="auto"/>
        <w:jc w:val="center"/>
        <w:rPr>
          <w:rFonts w:hint="default" w:ascii="宋体" w:hAnsi="宋体"/>
          <w:highlight w:val="none"/>
          <w:lang w:val="en-US" w:eastAsia="zh-CN"/>
        </w:rPr>
      </w:pPr>
      <w:r>
        <w:drawing>
          <wp:inline distT="0" distB="0" distL="114300" distR="114300">
            <wp:extent cx="2472055" cy="2830830"/>
            <wp:effectExtent l="0" t="0" r="444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2472055" cy="2830830"/>
                    </a:xfrm>
                    <a:prstGeom prst="rect">
                      <a:avLst/>
                    </a:prstGeom>
                    <a:noFill/>
                    <a:ln>
                      <a:noFill/>
                    </a:ln>
                  </pic:spPr>
                </pic:pic>
              </a:graphicData>
            </a:graphic>
          </wp:inline>
        </w:drawing>
      </w:r>
    </w:p>
    <w:p>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br w:type="page"/>
      </w:r>
    </w:p>
    <w:p>
      <w:pPr>
        <w:pStyle w:val="13"/>
        <w:snapToGrid w:val="0"/>
        <w:spacing w:line="300" w:lineRule="auto"/>
        <w:ind w:firstLine="640"/>
        <w:rPr>
          <w:rFonts w:hint="eastAsia" w:ascii="仿宋_GB2312" w:eastAsia="仿宋_GB2312"/>
          <w:color w:val="000000" w:themeColor="text1"/>
          <w:sz w:val="32"/>
          <w:szCs w:val="32"/>
          <w:lang w:val="en-US" w:eastAsia="zh-CN"/>
          <w14:textFill>
            <w14:solidFill>
              <w14:schemeClr w14:val="tx1"/>
            </w14:solidFill>
          </w14:textFill>
        </w:rPr>
      </w:pPr>
    </w:p>
    <w:p>
      <w:pPr>
        <w:pStyle w:val="13"/>
        <w:snapToGrid w:val="0"/>
        <w:spacing w:line="300" w:lineRule="auto"/>
        <w:ind w:firstLine="64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val="en-US"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平台需具备水印嵌入加密和追溯能力，</w:t>
      </w:r>
      <w:r>
        <w:rPr>
          <w:rFonts w:hint="eastAsia" w:ascii="仿宋_GB2312" w:eastAsia="仿宋_GB2312"/>
          <w:color w:val="000000" w:themeColor="text1"/>
          <w:sz w:val="28"/>
          <w:szCs w:val="28"/>
          <w:lang w:val="en-US" w:eastAsia="zh-CN"/>
          <w14:textFill>
            <w14:solidFill>
              <w14:schemeClr w14:val="tx1"/>
            </w14:solidFill>
          </w14:textFill>
        </w:rPr>
        <w:t>系统</w:t>
      </w:r>
      <w:r>
        <w:rPr>
          <w:rFonts w:hint="eastAsia" w:ascii="仿宋_GB2312" w:eastAsia="仿宋_GB2312"/>
          <w:color w:val="000000" w:themeColor="text1"/>
          <w:sz w:val="28"/>
          <w:szCs w:val="28"/>
          <w14:textFill>
            <w14:solidFill>
              <w14:schemeClr w14:val="tx1"/>
            </w14:solidFill>
          </w14:textFill>
        </w:rPr>
        <w:t>界面中均可实时嵌入包含身份信息和时间信息的水印信息，并支持利用计算机数据嵌入和显示相关技术，根据截图或拷屏图片，反向追溯泄露信息来源。</w:t>
      </w:r>
    </w:p>
    <w:p>
      <w:pPr>
        <w:pStyle w:val="13"/>
        <w:snapToGrid w:val="0"/>
        <w:spacing w:line="300" w:lineRule="auto"/>
        <w:ind w:firstLine="64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平台需支持网络数据加密传输存储相关技术，通过数据加密、解密技术和重要性标识保证平台数据传输过程安全，提升整体系统数据传输的安全性。</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采用大资源管理平台作为底层支撑，为快速整合、统一身份、统一组织架构、统一访问控制提供底层支持。通过虚拟化服务交互来实现系统的超大规模复用，不仅能够实现每个部门拥有各自的私有应用系统，还同时共享资源，做到信息资源互联互通，消除信息孤岛。支持对平台系统的独立管理和共享复用。各业务子系统提供快速响应能力，能满足各类子系统实际应用过程中各类不同数量使用者访问的访问请求。</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bookmarkStart w:id="59" w:name="_Toc38462129"/>
      <w:bookmarkStart w:id="60" w:name="_Toc34073455"/>
      <w:r>
        <w:rPr>
          <w:rFonts w:hint="eastAsia" w:ascii="仿宋_GB2312" w:eastAsia="仿宋_GB2312"/>
          <w:color w:val="000000" w:themeColor="text1"/>
          <w:sz w:val="28"/>
          <w:szCs w:val="28"/>
          <w:lang w:val="en-US" w:eastAsia="zh-CN"/>
          <w14:textFill>
            <w14:solidFill>
              <w14:schemeClr w14:val="tx1"/>
            </w14:solidFill>
          </w14:textFill>
        </w:rPr>
        <w:t>4</w:t>
      </w:r>
      <w:bookmarkEnd w:id="59"/>
      <w:bookmarkEnd w:id="60"/>
      <w:r>
        <w:rPr>
          <w:rFonts w:hint="eastAsia" w:ascii="仿宋_GB2312" w:eastAsia="仿宋_GB2312"/>
          <w:color w:val="000000" w:themeColor="text1"/>
          <w:sz w:val="28"/>
          <w:szCs w:val="28"/>
          <w:lang w:val="en-US" w:eastAsia="zh-CN"/>
          <w14:textFill>
            <w14:solidFill>
              <w14:schemeClr w14:val="tx1"/>
            </w14:solidFill>
          </w14:textFill>
        </w:rPr>
        <w:t>.采用移动端前端开发多屏适配技术，确保应用能够支持各类屏幕尺寸的智能移动设备,提高公众访问使用的体验度。</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5.系统需具备WEB平台的日志分析技术，实现整体日志采集、搜索、浏览、分析、备份、下载。</w:t>
      </w:r>
    </w:p>
    <w:p>
      <w:pPr>
        <w:pStyle w:val="13"/>
        <w:snapToGrid w:val="0"/>
        <w:spacing w:line="300" w:lineRule="auto"/>
        <w:ind w:firstLine="640"/>
        <w:rPr>
          <w:rFonts w:hint="eastAsia" w:ascii="黑体" w:eastAsia="黑体"/>
          <w:color w:val="000000" w:themeColor="text1"/>
          <w:sz w:val="28"/>
          <w:szCs w:val="28"/>
          <w14:textFill>
            <w14:solidFill>
              <w14:schemeClr w14:val="tx1"/>
            </w14:solidFill>
          </w14:textFill>
        </w:rPr>
      </w:pPr>
      <w:bookmarkStart w:id="61" w:name="_Toc1207296487"/>
      <w:bookmarkStart w:id="62" w:name="_Toc1606560153"/>
      <w:r>
        <w:rPr>
          <w:rFonts w:hint="eastAsia" w:ascii="黑体" w:eastAsia="黑体"/>
          <w:color w:val="000000" w:themeColor="text1"/>
          <w:sz w:val="28"/>
          <w:szCs w:val="28"/>
          <w:lang w:eastAsia="zh-CN"/>
          <w14:textFill>
            <w14:solidFill>
              <w14:schemeClr w14:val="tx1"/>
            </w14:solidFill>
          </w14:textFill>
        </w:rPr>
        <w:t>三、</w:t>
      </w:r>
      <w:r>
        <w:rPr>
          <w:rFonts w:hint="eastAsia" w:ascii="黑体" w:eastAsia="黑体"/>
          <w:color w:val="000000" w:themeColor="text1"/>
          <w:sz w:val="28"/>
          <w:szCs w:val="28"/>
          <w14:textFill>
            <w14:solidFill>
              <w14:schemeClr w14:val="tx1"/>
            </w14:solidFill>
          </w14:textFill>
        </w:rPr>
        <w:t>网络、数据安全</w:t>
      </w:r>
      <w:bookmarkEnd w:id="61"/>
    </w:p>
    <w:p>
      <w:pPr>
        <w:pStyle w:val="13"/>
        <w:snapToGrid w:val="0"/>
        <w:spacing w:line="300" w:lineRule="auto"/>
        <w:ind w:firstLine="640"/>
        <w:rPr>
          <w:rFonts w:hint="eastAsia"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lang w:val="en-US" w:eastAsia="zh-CN"/>
          <w14:textFill>
            <w14:solidFill>
              <w14:schemeClr w14:val="tx1"/>
            </w14:solidFill>
          </w14:textFill>
        </w:rPr>
        <w:t>1.</w:t>
      </w:r>
      <w:r>
        <w:rPr>
          <w:rFonts w:hint="eastAsia" w:ascii="黑体" w:eastAsia="黑体"/>
          <w:color w:val="000000" w:themeColor="text1"/>
          <w:sz w:val="28"/>
          <w:szCs w:val="28"/>
          <w:highlight w:val="none"/>
          <w14:textFill>
            <w14:solidFill>
              <w14:schemeClr w14:val="tx1"/>
            </w14:solidFill>
          </w14:textFill>
        </w:rPr>
        <w:t>网络安全</w:t>
      </w:r>
      <w:bookmarkEnd w:id="62"/>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承建单位使用符合《信息安全等级保护管理办法》、《网络安全等级保护条例》等相关法律、法规、标准规范的软件进行安装，建设单位保障正常运行所需的网络环境、硬件设备、网络及数据安全等设施和相应的软件，承建维保单位做好日常运维工作。</w:t>
      </w:r>
    </w:p>
    <w:p>
      <w:pPr>
        <w:pStyle w:val="13"/>
        <w:snapToGrid w:val="0"/>
        <w:spacing w:line="300" w:lineRule="auto"/>
        <w:ind w:firstLine="640"/>
        <w:rPr>
          <w:rFonts w:hint="eastAsia" w:ascii="黑体" w:eastAsia="黑体"/>
          <w:color w:val="000000" w:themeColor="text1"/>
          <w:sz w:val="28"/>
          <w:szCs w:val="28"/>
          <w:lang w:val="en-US" w:eastAsia="zh-CN"/>
          <w14:textFill>
            <w14:solidFill>
              <w14:schemeClr w14:val="tx1"/>
            </w14:solidFill>
          </w14:textFill>
        </w:rPr>
      </w:pPr>
      <w:bookmarkStart w:id="63" w:name="_Toc1144597740"/>
      <w:r>
        <w:rPr>
          <w:rFonts w:hint="eastAsia" w:ascii="黑体" w:eastAsia="黑体"/>
          <w:color w:val="000000" w:themeColor="text1"/>
          <w:sz w:val="28"/>
          <w:szCs w:val="28"/>
          <w:lang w:val="en-US" w:eastAsia="zh-CN"/>
          <w14:textFill>
            <w14:solidFill>
              <w14:schemeClr w14:val="tx1"/>
            </w14:solidFill>
          </w14:textFill>
        </w:rPr>
        <w:t>2.数据安全</w:t>
      </w:r>
      <w:bookmarkEnd w:id="63"/>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依照《中华人民共和国数据安全法》、《中华人民共和国网络安全法》、《中华人民共和国保密法》、《信息安全技术 网络安全等级保护基本要求》、《信息安全技术网络安全等级保护测评要求》、《信息安全技术信息系统密码应用基本要求》等相关法律法规和标准规范，本项目在建设、实施、维护等过程中，需遵循以下要求：</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bookmarkStart w:id="64" w:name="_Toc95706354"/>
      <w:r>
        <w:rPr>
          <w:rFonts w:hint="eastAsia" w:ascii="仿宋_GB2312" w:eastAsia="仿宋_GB2312"/>
          <w:color w:val="000000" w:themeColor="text1"/>
          <w:sz w:val="28"/>
          <w:szCs w:val="28"/>
          <w:lang w:val="en-US" w:eastAsia="zh-CN"/>
          <w14:textFill>
            <w14:solidFill>
              <w14:schemeClr w14:val="tx1"/>
            </w14:solidFill>
          </w14:textFill>
        </w:rPr>
        <w:t>2.1)数据安全要求</w:t>
      </w:r>
      <w:bookmarkEnd w:id="64"/>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安全等级保护：本系统是在“海安市电子政务应用平台协同办公系统”的基础上进行二次开发的，安全等保随着协助办公软件一起做，标准按信息系统安全等级保护要求及相关规范进行建设；支持国产化产品部署环境，保障平台整体的信息安全和应用安全。承建单位在项目建设完成后按照满足“海安市协同办公系统”确定的安全等级保护要求，配合海安市市域社会治理现代化指挥中心</w:t>
      </w:r>
      <w:r>
        <w:rPr>
          <w:rFonts w:hint="eastAsia" w:ascii="仿宋_GB2312" w:eastAsia="仿宋_GB2312"/>
          <w:color w:val="000000" w:themeColor="text1"/>
          <w:sz w:val="28"/>
          <w:szCs w:val="28"/>
          <w:lang w:val="en-US" w:eastAsia="zh-CN"/>
          <w14:textFill>
            <w14:solidFill>
              <w14:schemeClr w14:val="tx1"/>
            </w14:solidFill>
          </w14:textFill>
        </w:rPr>
        <w:t>完成等保测评工作。</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bookmarkStart w:id="65" w:name="_Toc71440075"/>
      <w:r>
        <w:rPr>
          <w:rFonts w:hint="eastAsia" w:ascii="仿宋_GB2312" w:eastAsia="仿宋_GB2312"/>
          <w:color w:val="000000" w:themeColor="text1"/>
          <w:sz w:val="28"/>
          <w:szCs w:val="28"/>
          <w:lang w:val="en-US" w:eastAsia="zh-CN"/>
          <w14:textFill>
            <w14:solidFill>
              <w14:schemeClr w14:val="tx1"/>
            </w14:solidFill>
          </w14:textFill>
        </w:rPr>
        <w:t>2.2)数据安全交接</w:t>
      </w:r>
      <w:bookmarkEnd w:id="65"/>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因该项目是在“海安市电子政务应用平台协同办公系统”的基础上进行二次开发的，仍按“海安市电子政务应用平台协同办公系统”开发时的要求进行数据安全交接。</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bookmarkStart w:id="66" w:name="_Toc249981852"/>
      <w:r>
        <w:rPr>
          <w:rFonts w:hint="eastAsia" w:ascii="仿宋_GB2312" w:eastAsia="仿宋_GB2312"/>
          <w:color w:val="000000" w:themeColor="text1"/>
          <w:sz w:val="28"/>
          <w:szCs w:val="28"/>
          <w:lang w:val="en-US" w:eastAsia="zh-CN"/>
          <w14:textFill>
            <w14:solidFill>
              <w14:schemeClr w14:val="tx1"/>
            </w14:solidFill>
          </w14:textFill>
        </w:rPr>
        <w:t>2.3)数据安全操作</w:t>
      </w:r>
      <w:bookmarkEnd w:id="66"/>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在系统建设、服务过程中，建设单位授予承建单位的操作账号，承建单位不得有新增、修改、删除、复制用户数据的权限。</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在系统建设、服务过程中，若需要承建单位配合操作真实数据的，建设单位须安排专人操作，承建单位负责全程指导。</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bookmarkStart w:id="67" w:name="_Toc966973032"/>
      <w:r>
        <w:rPr>
          <w:rFonts w:hint="eastAsia" w:ascii="仿宋_GB2312" w:eastAsia="仿宋_GB2312"/>
          <w:color w:val="000000" w:themeColor="text1"/>
          <w:sz w:val="28"/>
          <w:szCs w:val="28"/>
          <w:lang w:val="en-US" w:eastAsia="zh-CN"/>
          <w14:textFill>
            <w14:solidFill>
              <w14:schemeClr w14:val="tx1"/>
            </w14:solidFill>
          </w14:textFill>
        </w:rPr>
        <w:t>2.4)数据安全保障</w:t>
      </w:r>
      <w:bookmarkEnd w:id="67"/>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在项目建设、实施、维护过程中建设单位明确要求承建单位协助操作数据时，需要根据双方签署的《保密数据操作协议》（含：数据操作范围、时限，各方责任，实施方案步骤、安全保密方案等）约定进行操作；</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bookmarkStart w:id="68" w:name="_Toc1906991975"/>
      <w:r>
        <w:rPr>
          <w:rFonts w:hint="eastAsia" w:ascii="仿宋_GB2312" w:eastAsia="仿宋_GB2312"/>
          <w:color w:val="000000" w:themeColor="text1"/>
          <w:sz w:val="28"/>
          <w:szCs w:val="28"/>
          <w:lang w:val="en-US" w:eastAsia="zh-CN"/>
          <w14:textFill>
            <w14:solidFill>
              <w14:schemeClr w14:val="tx1"/>
            </w14:solidFill>
          </w14:textFill>
        </w:rPr>
        <w:t>2.5)数据安全备份</w:t>
      </w:r>
      <w:bookmarkEnd w:id="68"/>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项目建设、实施、维护过程中承建方需对本项目所涉及的数据、文件、应用信息进行异地备份或离线备份，并定期组织进行数据安全恢复演练，并按照《保密数据操作协议》约定，接受对涉及真实数据的操作进行监管。</w:t>
      </w:r>
    </w:p>
    <w:p>
      <w:pPr>
        <w:pStyle w:val="13"/>
        <w:snapToGrid w:val="0"/>
        <w:spacing w:line="300" w:lineRule="auto"/>
        <w:ind w:firstLine="640"/>
        <w:rPr>
          <w:rFonts w:hint="eastAsia" w:ascii="黑体" w:eastAsia="黑体"/>
          <w:color w:val="000000" w:themeColor="text1"/>
          <w:sz w:val="28"/>
          <w:szCs w:val="28"/>
          <w:lang w:val="en-US" w:eastAsia="zh-CN"/>
          <w14:textFill>
            <w14:solidFill>
              <w14:schemeClr w14:val="tx1"/>
            </w14:solidFill>
          </w14:textFill>
        </w:rPr>
      </w:pPr>
      <w:bookmarkStart w:id="69" w:name="_Toc1768175997"/>
      <w:r>
        <w:rPr>
          <w:rFonts w:hint="eastAsia" w:ascii="黑体" w:eastAsia="黑体"/>
          <w:color w:val="000000" w:themeColor="text1"/>
          <w:sz w:val="28"/>
          <w:szCs w:val="28"/>
          <w:lang w:val="en-US" w:eastAsia="zh-CN"/>
          <w14:textFill>
            <w14:solidFill>
              <w14:schemeClr w14:val="tx1"/>
            </w14:solidFill>
          </w14:textFill>
        </w:rPr>
        <w:t>3.网络、数据安全责任</w:t>
      </w:r>
      <w:bookmarkEnd w:id="69"/>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项目参建人员均须遵守安全保密管理规定，对项目建设工作中涉及的敏感资料、电子数据等相关信息，严格执行保密的相关规定，不以任何方式向任何第三方披露、泄露或许可第三方使用，否则参与人员需承担其相应的法律责任。</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若未按上述约定执行，未执行方要承担其行为带来的数据安全责任</w:t>
      </w:r>
      <w:bookmarkStart w:id="70" w:name="_Toc11768"/>
      <w:bookmarkEnd w:id="70"/>
      <w:bookmarkStart w:id="71" w:name="_Toc855274393"/>
      <w:r>
        <w:rPr>
          <w:rFonts w:hint="eastAsia" w:ascii="仿宋_GB2312" w:eastAsia="仿宋_GB2312"/>
          <w:color w:val="000000" w:themeColor="text1"/>
          <w:sz w:val="28"/>
          <w:szCs w:val="28"/>
          <w:lang w:val="en-US" w:eastAsia="zh-CN"/>
          <w14:textFill>
            <w14:solidFill>
              <w14:schemeClr w14:val="tx1"/>
            </w14:solidFill>
          </w14:textFill>
        </w:rPr>
        <w:t>。</w:t>
      </w:r>
    </w:p>
    <w:p>
      <w:pPr>
        <w:pStyle w:val="13"/>
        <w:snapToGrid w:val="0"/>
        <w:spacing w:line="300" w:lineRule="auto"/>
        <w:ind w:firstLine="640"/>
        <w:rPr>
          <w:rFonts w:hint="eastAsia" w:ascii="黑体" w:eastAsia="黑体"/>
          <w:color w:val="000000" w:themeColor="text1"/>
          <w:sz w:val="28"/>
          <w:szCs w:val="28"/>
          <w:lang w:val="en-US" w:eastAsia="zh-CN"/>
          <w14:textFill>
            <w14:solidFill>
              <w14:schemeClr w14:val="tx1"/>
            </w14:solidFill>
          </w14:textFill>
        </w:rPr>
      </w:pPr>
      <w:r>
        <w:rPr>
          <w:rFonts w:hint="eastAsia" w:ascii="黑体" w:eastAsia="黑体"/>
          <w:color w:val="000000" w:themeColor="text1"/>
          <w:sz w:val="28"/>
          <w:szCs w:val="28"/>
          <w:lang w:val="en-US" w:eastAsia="zh-CN"/>
          <w14:textFill>
            <w14:solidFill>
              <w14:schemeClr w14:val="tx1"/>
            </w14:solidFill>
          </w14:textFill>
        </w:rPr>
        <w:t>四、功能设计</w:t>
      </w:r>
      <w:bookmarkEnd w:id="71"/>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本系统基于海安市电子政务应用平台协同办公系统进行二次开发，在海安市电子政务应用平台协同办公系统首页添加系统入口，采用单点登录，无需重复输入账号密码。</w:t>
      </w:r>
    </w:p>
    <w:p>
      <w:pPr>
        <w:pStyle w:val="13"/>
        <w:snapToGrid w:val="0"/>
        <w:spacing w:line="300" w:lineRule="auto"/>
        <w:ind w:firstLine="64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具体功能详见海安市推进法律法规全面有效实施管理系统-功能清单。</w:t>
      </w:r>
    </w:p>
    <w:p>
      <w:pPr>
        <w:pStyle w:val="13"/>
        <w:snapToGrid w:val="0"/>
        <w:spacing w:line="300" w:lineRule="auto"/>
        <w:ind w:firstLine="640"/>
        <w:rPr>
          <w:rFonts w:hint="eastAsia" w:ascii="仿宋_GB2312" w:eastAsia="仿宋_GB2312"/>
          <w:color w:val="000000" w:themeColor="text1"/>
          <w:sz w:val="32"/>
          <w:szCs w:val="32"/>
          <w:lang w:val="en-US" w:eastAsia="zh-CN"/>
          <w14:textFill>
            <w14:solidFill>
              <w14:schemeClr w14:val="tx1"/>
            </w14:solidFill>
          </w14:textFill>
        </w:rPr>
      </w:pPr>
    </w:p>
    <w:tbl>
      <w:tblPr>
        <w:tblStyle w:val="23"/>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499"/>
        <w:gridCol w:w="1564"/>
        <w:gridCol w:w="1657"/>
        <w:gridCol w:w="5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585" w:type="dxa"/>
            <w:gridSpan w:val="5"/>
            <w:tcBorders>
              <w:top w:val="single" w:color="000000" w:sz="4" w:space="0"/>
              <w:left w:val="single" w:color="000000" w:sz="4" w:space="0"/>
              <w:bottom w:val="single" w:color="000000" w:sz="4" w:space="0"/>
              <w:right w:val="single" w:color="000000" w:sz="4" w:space="0"/>
            </w:tcBorders>
            <w:shd w:val="clear" w:color="auto" w:fill="C5D9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海安市推进法律法规全面有效实施管理系统-功能清单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序号</w:t>
            </w:r>
          </w:p>
        </w:tc>
        <w:tc>
          <w:tcPr>
            <w:tcW w:w="499"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应用端</w:t>
            </w:r>
          </w:p>
        </w:tc>
        <w:tc>
          <w:tcPr>
            <w:tcW w:w="1564"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功能模块</w:t>
            </w:r>
          </w:p>
        </w:tc>
        <w:tc>
          <w:tcPr>
            <w:tcW w:w="1657"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功能名称</w:t>
            </w:r>
          </w:p>
        </w:tc>
        <w:tc>
          <w:tcPr>
            <w:tcW w:w="5153" w:type="dxa"/>
            <w:tcBorders>
              <w:top w:val="single" w:color="000000" w:sz="4" w:space="0"/>
              <w:left w:val="single" w:color="000000" w:sz="4" w:space="0"/>
              <w:bottom w:val="single" w:color="000000" w:sz="4" w:space="0"/>
              <w:right w:val="single" w:color="000000" w:sz="4" w:space="0"/>
            </w:tcBorders>
            <w:shd w:val="clear" w:color="auto" w:fill="DCE6F1"/>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电脑端</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法律法规库管理</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法律法规数据采集</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数据机器人法律法规数据采集流程实施，包括：</w:t>
            </w:r>
            <w:r>
              <w:rPr>
                <w:rFonts w:hint="eastAsia" w:ascii="仿宋_GB2312" w:eastAsia="仿宋_GB2312"/>
                <w:color w:val="000000" w:themeColor="text1"/>
                <w:sz w:val="21"/>
                <w:szCs w:val="21"/>
                <w:lang w:val="en-US" w:eastAsia="zh-CN"/>
                <w14:textFill>
                  <w14:solidFill>
                    <w14:schemeClr w14:val="tx1"/>
                  </w14:solidFill>
                </w14:textFill>
              </w:rPr>
              <w:br w:type="textWrapping"/>
            </w:r>
            <w:r>
              <w:rPr>
                <w:rFonts w:hint="eastAsia" w:ascii="仿宋_GB2312" w:eastAsia="仿宋_GB2312"/>
                <w:color w:val="000000" w:themeColor="text1"/>
                <w:sz w:val="21"/>
                <w:szCs w:val="21"/>
                <w:lang w:val="en-US" w:eastAsia="zh-CN"/>
                <w14:textFill>
                  <w14:solidFill>
                    <w14:schemeClr w14:val="tx1"/>
                  </w14:solidFill>
                </w14:textFill>
              </w:rPr>
              <w:t>（1）宪法 数据采集</w:t>
            </w:r>
            <w:r>
              <w:rPr>
                <w:rFonts w:hint="eastAsia" w:ascii="仿宋_GB2312" w:eastAsia="仿宋_GB2312"/>
                <w:color w:val="000000" w:themeColor="text1"/>
                <w:sz w:val="21"/>
                <w:szCs w:val="21"/>
                <w:lang w:val="en-US" w:eastAsia="zh-CN"/>
                <w14:textFill>
                  <w14:solidFill>
                    <w14:schemeClr w14:val="tx1"/>
                  </w14:solidFill>
                </w14:textFill>
              </w:rPr>
              <w:br w:type="textWrapping"/>
            </w:r>
            <w:r>
              <w:rPr>
                <w:rFonts w:hint="eastAsia" w:ascii="仿宋_GB2312" w:eastAsia="仿宋_GB2312"/>
                <w:color w:val="000000" w:themeColor="text1"/>
                <w:sz w:val="21"/>
                <w:szCs w:val="21"/>
                <w:lang w:val="en-US" w:eastAsia="zh-CN"/>
                <w14:textFill>
                  <w14:solidFill>
                    <w14:schemeClr w14:val="tx1"/>
                  </w14:solidFill>
                </w14:textFill>
              </w:rPr>
              <w:t>（2）全国人大及其常委会法律 数据采集</w:t>
            </w:r>
            <w:r>
              <w:rPr>
                <w:rFonts w:hint="eastAsia" w:ascii="仿宋_GB2312" w:eastAsia="仿宋_GB2312"/>
                <w:color w:val="000000" w:themeColor="text1"/>
                <w:sz w:val="21"/>
                <w:szCs w:val="21"/>
                <w:lang w:val="en-US" w:eastAsia="zh-CN"/>
                <w14:textFill>
                  <w14:solidFill>
                    <w14:schemeClr w14:val="tx1"/>
                  </w14:solidFill>
                </w14:textFill>
              </w:rPr>
              <w:br w:type="textWrapping"/>
            </w:r>
            <w:r>
              <w:rPr>
                <w:rFonts w:hint="eastAsia" w:ascii="仿宋_GB2312" w:eastAsia="仿宋_GB2312"/>
                <w:color w:val="000000" w:themeColor="text1"/>
                <w:sz w:val="21"/>
                <w:szCs w:val="21"/>
                <w:lang w:val="en-US" w:eastAsia="zh-CN"/>
                <w14:textFill>
                  <w14:solidFill>
                    <w14:schemeClr w14:val="tx1"/>
                  </w14:solidFill>
                </w14:textFill>
              </w:rPr>
              <w:t>（3）国务院行政法规及部门规章 数据采集</w:t>
            </w:r>
            <w:r>
              <w:rPr>
                <w:rFonts w:hint="eastAsia" w:ascii="仿宋_GB2312" w:eastAsia="仿宋_GB2312"/>
                <w:color w:val="000000" w:themeColor="text1"/>
                <w:sz w:val="21"/>
                <w:szCs w:val="21"/>
                <w:lang w:val="en-US" w:eastAsia="zh-CN"/>
                <w14:textFill>
                  <w14:solidFill>
                    <w14:schemeClr w14:val="tx1"/>
                  </w14:solidFill>
                </w14:textFill>
              </w:rPr>
              <w:br w:type="textWrapping"/>
            </w:r>
            <w:r>
              <w:rPr>
                <w:rFonts w:hint="eastAsia" w:ascii="仿宋_GB2312" w:eastAsia="仿宋_GB2312"/>
                <w:color w:val="000000" w:themeColor="text1"/>
                <w:sz w:val="21"/>
                <w:szCs w:val="21"/>
                <w:lang w:val="en-US" w:eastAsia="zh-CN"/>
                <w14:textFill>
                  <w14:solidFill>
                    <w14:schemeClr w14:val="tx1"/>
                  </w14:solidFill>
                </w14:textFill>
              </w:rPr>
              <w:t>（4）省人大常委会地方性法律 数据采集（先筛选，后采集）</w:t>
            </w:r>
            <w:r>
              <w:rPr>
                <w:rFonts w:hint="eastAsia" w:ascii="仿宋_GB2312" w:eastAsia="仿宋_GB2312"/>
                <w:color w:val="000000" w:themeColor="text1"/>
                <w:sz w:val="21"/>
                <w:szCs w:val="21"/>
                <w:lang w:val="en-US" w:eastAsia="zh-CN"/>
                <w14:textFill>
                  <w14:solidFill>
                    <w14:schemeClr w14:val="tx1"/>
                  </w14:solidFill>
                </w14:textFill>
              </w:rPr>
              <w:br w:type="textWrapping"/>
            </w:r>
            <w:r>
              <w:rPr>
                <w:rFonts w:hint="eastAsia" w:ascii="仿宋_GB2312" w:eastAsia="仿宋_GB2312"/>
                <w:color w:val="000000" w:themeColor="text1"/>
                <w:sz w:val="21"/>
                <w:szCs w:val="21"/>
                <w:lang w:val="en-US" w:eastAsia="zh-CN"/>
                <w14:textFill>
                  <w14:solidFill>
                    <w14:schemeClr w14:val="tx1"/>
                  </w14:solidFill>
                </w14:textFill>
              </w:rPr>
              <w:t>（5）南通市人大常委会地方性法规 数据采集（先筛选，后采集）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数据采集运行态势监控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3</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法律法规数据处理入库</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法律法规信息识别，包括：类别、标题、制定机关、法律性质、时效性、公布日期、条款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4</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生成条款目录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5</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生成更新标识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6</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法律法规数据增补</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人工增补法律法规，包括法律法规的新增、编辑、删除和查询。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7</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增补法律法规认定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8</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推进全面有效实施主体管理</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实施主体确认</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司法局对实施主体认定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9</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认定结果推送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10</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实施主体申请</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各部门在线提交认领申请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12</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实施主体审核</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司法局在线审核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13</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相关单位在线提供参考意见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14</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审核结果发布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15</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数据统计</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各部门实施主体申请及审核数据统计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16</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申请明细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17</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restart"/>
            <w:tcBorders>
              <w:top w:val="single" w:color="000000" w:sz="4" w:space="0"/>
              <w:left w:val="single" w:color="000000" w:sz="4" w:space="0"/>
              <w:bottom w:val="nil"/>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推进清单管理</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法律清单</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以部门为单位形成各部门法律清单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18</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nil"/>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各部门进行推进措施维护，包括新增、编辑、删除功能。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19</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nil"/>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主体清单</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以法律为主体，形成主体清单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20</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nil"/>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tcBorders>
              <w:top w:val="single" w:color="000000" w:sz="4" w:space="0"/>
              <w:left w:val="single" w:color="000000" w:sz="4" w:space="0"/>
              <w:bottom w:val="nil"/>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措施清单</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以法律为主体，形成措施清单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快捷检索</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关键字查询</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按照关键字、实施主体进行查询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22</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高级查询</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按照检索范围、施行日期、时效性、检索方式、公布日期、制定机关、法律效力位阶进行查询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23</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移动端</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法律法规分类展示</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按照宪法、全国人大及其常委会法律、国务院行政法规及部门规章、省人大常委会地方性法律、南通市人大常委会地方性法规类型进行法律法规分类展示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24</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法律法规详情</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查看法律法规详情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25</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法律法规清单</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各部门查看自己的法律法规清单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26</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法律法规检索</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支持进行法律法规的快捷检索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27</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整合对接</w:t>
            </w: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与海安市电子政务应用平台协同办公系统关联整合</w:t>
            </w:r>
          </w:p>
        </w:tc>
        <w:tc>
          <w:tcPr>
            <w:tcW w:w="51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基于海安市电子政务应用平台协同办公系统进行二次开发，通过单点登录技术实现本系统登录，使用政务协同系统组织架构，进行人员系统使用权限控制。对政务协同系统系统内的菜单、权限管理进行改造。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28</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与省人大平台整合对接</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预留省人大平台整合接口，后续可支持向其推送数据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jc w:val="cente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29</w:t>
            </w: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firstLine="640"/>
              <w:rPr>
                <w:rFonts w:hint="eastAsia" w:ascii="仿宋_GB2312" w:eastAsia="仿宋_GB2312"/>
                <w:color w:val="000000" w:themeColor="text1"/>
                <w:sz w:val="21"/>
                <w:szCs w:val="21"/>
                <w:lang w:val="en-US" w:eastAsia="zh-CN"/>
                <w14:textFill>
                  <w14:solidFill>
                    <w14:schemeClr w14:val="tx1"/>
                  </w14:solidFill>
                </w14:textFill>
              </w:rPr>
            </w:pPr>
          </w:p>
        </w:tc>
        <w:tc>
          <w:tcPr>
            <w:tcW w:w="32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0" w:leftChars="0" w:firstLine="0" w:firstLineChars="0"/>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国产化适配</w:t>
            </w:r>
          </w:p>
        </w:tc>
        <w:tc>
          <w:tcPr>
            <w:tcW w:w="5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3"/>
              <w:snapToGrid w:val="0"/>
              <w:spacing w:line="300" w:lineRule="auto"/>
              <w:ind w:left="210" w:leftChars="75" w:firstLine="210" w:firstLineChars="100"/>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按照国产化信创模式进行开发，需同时兼容国产化环境和WINDOWS环境及移动终端平台（非IOS系统)。</w:t>
            </w:r>
          </w:p>
        </w:tc>
      </w:tr>
    </w:tbl>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以上内容由服务商负责平台维护、更新升级、云服务器技术支持、运行维护等技术面服务，并提供线上或电话方式的答疑，为项目提供区域本土化的服务内容，包括但不限于工作协调、提供培训及初始化服务等，辅助上线工作。</w:t>
      </w:r>
    </w:p>
    <w:p>
      <w:pPr>
        <w:overflowPunct/>
        <w:spacing w:line="460" w:lineRule="exact"/>
        <w:ind w:firstLine="540"/>
        <w:rPr>
          <w:rFonts w:hint="default" w:ascii="仿宋" w:hAnsi="仿宋" w:eastAsia="仿宋" w:cs="宋体"/>
          <w:sz w:val="28"/>
          <w:szCs w:val="28"/>
          <w:lang w:val="en-US"/>
        </w:rPr>
      </w:pPr>
      <w:r>
        <w:rPr>
          <w:rFonts w:hint="eastAsia" w:ascii="黑体" w:eastAsia="黑体"/>
          <w:color w:val="000000" w:themeColor="text1"/>
          <w:sz w:val="28"/>
          <w:szCs w:val="28"/>
          <w:lang w:val="en-US" w:eastAsia="zh-CN"/>
          <w14:textFill>
            <w14:solidFill>
              <w14:schemeClr w14:val="tx1"/>
            </w14:solidFill>
          </w14:textFill>
        </w:rPr>
        <w:t>五、</w:t>
      </w:r>
      <w:r>
        <w:rPr>
          <w:rFonts w:hint="eastAsia" w:ascii="仿宋" w:hAnsi="仿宋" w:eastAsia="仿宋" w:cs="宋体"/>
          <w:sz w:val="28"/>
          <w:szCs w:val="28"/>
          <w:lang w:eastAsia="zh-CN"/>
        </w:rPr>
        <w:t>开发的软件</w:t>
      </w:r>
      <w:r>
        <w:rPr>
          <w:rFonts w:hint="eastAsia" w:ascii="仿宋" w:hAnsi="仿宋" w:eastAsia="仿宋" w:cs="宋体"/>
          <w:sz w:val="28"/>
          <w:szCs w:val="28"/>
        </w:rPr>
        <w:t>著作权名称</w:t>
      </w:r>
      <w:r>
        <w:rPr>
          <w:rFonts w:hint="eastAsia" w:ascii="仿宋" w:hAnsi="仿宋" w:eastAsia="仿宋" w:cs="宋体"/>
          <w:sz w:val="28"/>
          <w:szCs w:val="28"/>
          <w:lang w:eastAsia="zh-CN"/>
        </w:rPr>
        <w:t>为“</w:t>
      </w:r>
      <w:r>
        <w:rPr>
          <w:rFonts w:hint="eastAsia" w:ascii="仿宋" w:hAnsi="仿宋" w:eastAsia="仿宋" w:cs="宋体"/>
          <w:sz w:val="28"/>
          <w:szCs w:val="28"/>
        </w:rPr>
        <w:t>海安人大推进法律法规全面有效实施管理系统</w:t>
      </w:r>
      <w:r>
        <w:rPr>
          <w:rFonts w:hint="eastAsia" w:ascii="仿宋" w:hAnsi="仿宋" w:eastAsia="仿宋" w:cs="宋体"/>
          <w:sz w:val="28"/>
          <w:szCs w:val="28"/>
          <w:lang w:eastAsia="zh-CN"/>
        </w:rPr>
        <w:t>”，</w:t>
      </w:r>
      <w:r>
        <w:rPr>
          <w:rFonts w:hint="eastAsia" w:ascii="仿宋" w:hAnsi="仿宋" w:eastAsia="仿宋" w:cs="宋体"/>
          <w:sz w:val="28"/>
          <w:szCs w:val="28"/>
        </w:rPr>
        <w:t>著作权人</w:t>
      </w:r>
      <w:r>
        <w:rPr>
          <w:rFonts w:hint="eastAsia" w:ascii="仿宋" w:hAnsi="仿宋" w:eastAsia="仿宋" w:cs="宋体"/>
          <w:sz w:val="28"/>
          <w:szCs w:val="28"/>
          <w:lang w:eastAsia="zh-CN"/>
        </w:rPr>
        <w:t>为</w:t>
      </w:r>
      <w:r>
        <w:rPr>
          <w:rFonts w:hint="eastAsia" w:ascii="仿宋" w:hAnsi="仿宋" w:cs="宋体"/>
          <w:sz w:val="28"/>
          <w:szCs w:val="28"/>
          <w:lang w:eastAsia="zh-CN"/>
        </w:rPr>
        <w:t>项目方和软件开发商</w:t>
      </w:r>
      <w:r>
        <w:rPr>
          <w:rFonts w:hint="eastAsia" w:ascii="仿宋" w:hAnsi="仿宋" w:eastAsia="仿宋" w:cs="宋体"/>
          <w:sz w:val="28"/>
          <w:szCs w:val="28"/>
          <w:lang w:eastAsia="zh-CN"/>
        </w:rPr>
        <w:t>双方共同拥有。未经双方同意不得将软件产品私自转售第三方。</w:t>
      </w:r>
      <w:r>
        <w:rPr>
          <w:rFonts w:hint="eastAsia" w:ascii="仿宋" w:hAnsi="仿宋" w:cs="宋体"/>
          <w:sz w:val="28"/>
          <w:szCs w:val="28"/>
          <w:lang w:eastAsia="zh-CN"/>
        </w:rPr>
        <w:t>软件开发商负责申请该软件的著作权证书。</w:t>
      </w:r>
    </w:p>
    <w:p>
      <w:pPr>
        <w:rPr>
          <w:rFonts w:hint="eastAsia" w:ascii="仿宋" w:hAnsi="仿宋" w:eastAsia="仿宋" w:cs="宋体"/>
          <w:b/>
          <w:sz w:val="36"/>
          <w:szCs w:val="30"/>
        </w:rPr>
      </w:pPr>
      <w:bookmarkStart w:id="72" w:name="_Toc46223151"/>
      <w:r>
        <w:rPr>
          <w:rFonts w:hint="eastAsia" w:ascii="仿宋" w:hAnsi="仿宋" w:eastAsia="仿宋" w:cs="宋体"/>
          <w:b/>
          <w:sz w:val="36"/>
          <w:szCs w:val="30"/>
        </w:rPr>
        <w:br w:type="page"/>
      </w:r>
    </w:p>
    <w:p>
      <w:pPr>
        <w:adjustRightInd/>
        <w:snapToGrid w:val="0"/>
        <w:spacing w:line="360" w:lineRule="auto"/>
        <w:jc w:val="center"/>
        <w:outlineLvl w:val="0"/>
        <w:rPr>
          <w:rFonts w:hint="eastAsia" w:ascii="仿宋" w:hAnsi="仿宋" w:eastAsia="仿宋" w:cs="宋体"/>
          <w:b/>
          <w:sz w:val="36"/>
          <w:szCs w:val="30"/>
        </w:rPr>
      </w:pPr>
      <w:r>
        <w:rPr>
          <w:rFonts w:hint="eastAsia" w:ascii="仿宋" w:hAnsi="仿宋" w:eastAsia="仿宋" w:cs="宋体"/>
          <w:b/>
          <w:sz w:val="36"/>
          <w:szCs w:val="30"/>
        </w:rPr>
        <w:t>第四部分  竞价程序和内容</w:t>
      </w:r>
      <w:bookmarkEnd w:id="72"/>
    </w:p>
    <w:p>
      <w:pPr>
        <w:overflowPunct/>
        <w:spacing w:line="460" w:lineRule="exact"/>
        <w:ind w:firstLine="540"/>
        <w:rPr>
          <w:rFonts w:hint="eastAsia" w:ascii="黑体" w:hAnsi="黑体" w:eastAsia="黑体" w:cs="宋体"/>
          <w:sz w:val="28"/>
          <w:szCs w:val="28"/>
        </w:rPr>
      </w:pPr>
      <w:bookmarkStart w:id="73" w:name="_Toc46223152"/>
      <w:r>
        <w:rPr>
          <w:rFonts w:hint="eastAsia" w:ascii="黑体" w:hAnsi="黑体" w:eastAsia="黑体" w:cs="宋体"/>
          <w:sz w:val="28"/>
          <w:szCs w:val="28"/>
        </w:rPr>
        <w:t>一、市人大办组织</w:t>
      </w:r>
      <w:bookmarkEnd w:id="73"/>
      <w:r>
        <w:rPr>
          <w:rFonts w:hint="eastAsia" w:ascii="黑体" w:hAnsi="黑体" w:eastAsia="黑体" w:cs="宋体"/>
          <w:sz w:val="28"/>
          <w:szCs w:val="28"/>
        </w:rPr>
        <w:t>竞价</w:t>
      </w:r>
    </w:p>
    <w:p>
      <w:pPr>
        <w:overflowPunct/>
        <w:spacing w:line="460" w:lineRule="exact"/>
        <w:ind w:firstLine="540"/>
        <w:rPr>
          <w:rFonts w:hint="eastAsia" w:ascii="黑体" w:hAnsi="黑体" w:eastAsia="黑体" w:cs="宋体"/>
          <w:sz w:val="28"/>
          <w:szCs w:val="28"/>
        </w:rPr>
      </w:pPr>
      <w:bookmarkStart w:id="74" w:name="_Toc46223153"/>
      <w:r>
        <w:rPr>
          <w:rFonts w:hint="eastAsia" w:ascii="黑体" w:hAnsi="黑体" w:eastAsia="黑体" w:cs="宋体"/>
          <w:sz w:val="28"/>
          <w:szCs w:val="28"/>
        </w:rPr>
        <w:t>二、</w:t>
      </w:r>
      <w:bookmarkEnd w:id="74"/>
      <w:r>
        <w:rPr>
          <w:rFonts w:hint="eastAsia" w:ascii="黑体" w:hAnsi="黑体" w:eastAsia="黑体" w:cs="宋体"/>
          <w:sz w:val="28"/>
          <w:szCs w:val="28"/>
        </w:rPr>
        <w:t>竞价</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1.竞价时间：202</w:t>
      </w:r>
      <w:r>
        <w:rPr>
          <w:rFonts w:hint="eastAsia" w:ascii="仿宋" w:hAnsi="仿宋" w:eastAsia="仿宋" w:cs="宋体"/>
          <w:sz w:val="28"/>
          <w:szCs w:val="28"/>
          <w:lang w:val="en-US" w:eastAsia="zh-CN"/>
        </w:rPr>
        <w:t>2</w:t>
      </w:r>
      <w:r>
        <w:rPr>
          <w:rFonts w:hint="eastAsia" w:ascii="仿宋" w:hAnsi="仿宋" w:eastAsia="仿宋" w:cs="宋体"/>
          <w:sz w:val="28"/>
          <w:szCs w:val="28"/>
        </w:rPr>
        <w:t>年1</w:t>
      </w:r>
      <w:r>
        <w:rPr>
          <w:rFonts w:hint="eastAsia" w:ascii="仿宋" w:hAnsi="仿宋" w:cs="宋体"/>
          <w:sz w:val="28"/>
          <w:szCs w:val="28"/>
          <w:lang w:val="en-US" w:eastAsia="zh-CN"/>
        </w:rPr>
        <w:t>2</w:t>
      </w:r>
      <w:r>
        <w:rPr>
          <w:rFonts w:hint="eastAsia" w:ascii="仿宋" w:hAnsi="仿宋" w:eastAsia="仿宋" w:cs="宋体"/>
          <w:sz w:val="28"/>
          <w:szCs w:val="28"/>
        </w:rPr>
        <w:t>月</w:t>
      </w:r>
      <w:r>
        <w:rPr>
          <w:rFonts w:hint="eastAsia" w:ascii="仿宋" w:hAnsi="仿宋" w:cs="宋体"/>
          <w:sz w:val="28"/>
          <w:szCs w:val="28"/>
          <w:lang w:val="en-US" w:eastAsia="zh-CN"/>
        </w:rPr>
        <w:t>9</w:t>
      </w:r>
      <w:r>
        <w:rPr>
          <w:rFonts w:hint="eastAsia" w:ascii="仿宋" w:hAnsi="仿宋" w:eastAsia="仿宋" w:cs="宋体"/>
          <w:sz w:val="28"/>
          <w:szCs w:val="28"/>
        </w:rPr>
        <w:t>日10时00分。</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2.竞价地点：海安市长江中路106号8</w:t>
      </w:r>
      <w:r>
        <w:rPr>
          <w:rFonts w:hint="eastAsia" w:ascii="仿宋" w:hAnsi="仿宋" w:cs="宋体"/>
          <w:sz w:val="28"/>
          <w:szCs w:val="28"/>
          <w:lang w:val="en-US" w:eastAsia="zh-CN"/>
        </w:rPr>
        <w:t>2</w:t>
      </w:r>
      <w:r>
        <w:rPr>
          <w:rFonts w:hint="eastAsia" w:ascii="仿宋" w:hAnsi="仿宋" w:eastAsia="仿宋" w:cs="宋体"/>
          <w:sz w:val="28"/>
          <w:szCs w:val="28"/>
        </w:rPr>
        <w:t>2会议室，</w:t>
      </w:r>
      <w:r>
        <w:rPr>
          <w:rFonts w:ascii="仿宋" w:hAnsi="仿宋" w:eastAsia="仿宋" w:cs="宋体"/>
          <w:sz w:val="28"/>
          <w:szCs w:val="28"/>
        </w:rPr>
        <w:t>如有变动另行通知。</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3.采购单位主持竞价并记录，及时处理竞价响应供应商代表提出的询问或回避申请。</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4.竞价后竞价响应供应商不得撤回竞价报价书。</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5.竞价响应供应商不足3家的，采购单位可直接变更为两家竞价，只有一家就实行谈价。</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6.资格审查时间：竞价开始后当即开始。</w:t>
      </w:r>
    </w:p>
    <w:p>
      <w:pPr>
        <w:adjustRightInd/>
        <w:snapToGrid w:val="0"/>
        <w:spacing w:line="360" w:lineRule="auto"/>
        <w:jc w:val="center"/>
        <w:rPr>
          <w:rFonts w:hint="eastAsia" w:ascii="仿宋" w:hAnsi="仿宋" w:eastAsia="仿宋" w:cs="宋体"/>
          <w:sz w:val="28"/>
        </w:rPr>
      </w:pPr>
      <w:r>
        <w:rPr>
          <w:rFonts w:hint="eastAsia" w:ascii="仿宋" w:hAnsi="仿宋" w:eastAsia="仿宋" w:cs="宋体"/>
          <w:sz w:val="28"/>
        </w:rPr>
        <w:t>资格后审审查标准一览表</w:t>
      </w:r>
    </w:p>
    <w:tbl>
      <w:tblPr>
        <w:tblStyle w:val="2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67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9" w:type="dxa"/>
            <w:noWrap w:val="0"/>
            <w:vAlign w:val="center"/>
          </w:tcPr>
          <w:p>
            <w:pPr>
              <w:overflowPunct/>
              <w:spacing w:line="460" w:lineRule="exact"/>
              <w:ind w:left="0" w:leftChars="0" w:firstLine="0" w:firstLineChars="0"/>
              <w:jc w:val="center"/>
              <w:rPr>
                <w:rFonts w:hint="eastAsia" w:ascii="仿宋" w:hAnsi="仿宋" w:eastAsia="仿宋" w:cs="宋体"/>
                <w:sz w:val="21"/>
                <w:szCs w:val="21"/>
              </w:rPr>
            </w:pPr>
            <w:r>
              <w:rPr>
                <w:rFonts w:hint="eastAsia" w:ascii="仿宋" w:hAnsi="仿宋" w:eastAsia="仿宋" w:cs="宋体"/>
                <w:sz w:val="21"/>
                <w:szCs w:val="21"/>
              </w:rPr>
              <w:t>序号</w:t>
            </w:r>
          </w:p>
        </w:tc>
        <w:tc>
          <w:tcPr>
            <w:tcW w:w="5670" w:type="dxa"/>
            <w:noWrap w:val="0"/>
            <w:vAlign w:val="center"/>
          </w:tcPr>
          <w:p>
            <w:pPr>
              <w:overflowPunct/>
              <w:spacing w:line="460" w:lineRule="exact"/>
              <w:ind w:left="0" w:leftChars="0" w:firstLine="0" w:firstLineChars="0"/>
              <w:jc w:val="center"/>
              <w:rPr>
                <w:rFonts w:hint="eastAsia" w:ascii="仿宋" w:hAnsi="仿宋" w:eastAsia="仿宋" w:cs="宋体"/>
                <w:sz w:val="21"/>
                <w:szCs w:val="21"/>
              </w:rPr>
            </w:pPr>
            <w:r>
              <w:rPr>
                <w:rFonts w:hint="eastAsia" w:ascii="仿宋" w:hAnsi="仿宋" w:eastAsia="仿宋" w:cs="宋体"/>
                <w:sz w:val="21"/>
                <w:szCs w:val="21"/>
              </w:rPr>
              <w:t>资格后审材料文件清单</w:t>
            </w:r>
          </w:p>
        </w:tc>
        <w:tc>
          <w:tcPr>
            <w:tcW w:w="2336" w:type="dxa"/>
            <w:noWrap w:val="0"/>
            <w:vAlign w:val="center"/>
          </w:tcPr>
          <w:p>
            <w:pPr>
              <w:overflowPunct/>
              <w:spacing w:line="460" w:lineRule="exact"/>
              <w:ind w:left="0" w:leftChars="0" w:firstLine="0" w:firstLineChars="0"/>
              <w:jc w:val="both"/>
              <w:rPr>
                <w:rFonts w:hint="eastAsia" w:ascii="仿宋" w:hAnsi="仿宋" w:eastAsia="仿宋" w:cs="宋体"/>
                <w:sz w:val="21"/>
                <w:szCs w:val="21"/>
              </w:rPr>
            </w:pPr>
            <w:r>
              <w:rPr>
                <w:rFonts w:hint="eastAsia" w:ascii="仿宋" w:hAnsi="仿宋" w:eastAsia="仿宋" w:cs="宋体"/>
                <w:sz w:val="21"/>
                <w:szCs w:val="21"/>
              </w:rPr>
              <w:t>标准：唯一性</w:t>
            </w:r>
            <w:r>
              <w:rPr>
                <w:rFonts w:hint="eastAsia" w:ascii="仿宋" w:hAnsi="仿宋" w:cs="宋体"/>
                <w:sz w:val="21"/>
                <w:szCs w:val="21"/>
                <w:lang w:val="en-US" w:eastAsia="zh-CN"/>
              </w:rPr>
              <w:t xml:space="preserve"> </w:t>
            </w:r>
            <w:r>
              <w:rPr>
                <w:rFonts w:hint="eastAsia" w:ascii="仿宋" w:hAnsi="仿宋" w:eastAsia="仿宋" w:cs="宋体"/>
                <w:sz w:val="21"/>
                <w:szCs w:val="21"/>
              </w:rPr>
              <w:t>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noWrap w:val="0"/>
            <w:vAlign w:val="center"/>
          </w:tcPr>
          <w:p>
            <w:pPr>
              <w:overflowPunct/>
              <w:spacing w:line="460" w:lineRule="exact"/>
              <w:ind w:left="0" w:leftChars="0" w:firstLine="0" w:firstLineChars="0"/>
              <w:jc w:val="center"/>
              <w:rPr>
                <w:rFonts w:hint="eastAsia" w:ascii="仿宋" w:hAnsi="仿宋" w:eastAsia="仿宋" w:cs="宋体"/>
                <w:sz w:val="21"/>
                <w:szCs w:val="21"/>
              </w:rPr>
            </w:pPr>
            <w:r>
              <w:rPr>
                <w:rFonts w:hint="eastAsia" w:ascii="仿宋" w:hAnsi="仿宋" w:eastAsia="仿宋" w:cs="宋体"/>
                <w:sz w:val="21"/>
                <w:szCs w:val="21"/>
              </w:rPr>
              <w:t>1</w:t>
            </w:r>
          </w:p>
        </w:tc>
        <w:tc>
          <w:tcPr>
            <w:tcW w:w="5670" w:type="dxa"/>
            <w:noWrap w:val="0"/>
            <w:vAlign w:val="center"/>
          </w:tcPr>
          <w:p>
            <w:pPr>
              <w:overflowPunct/>
              <w:spacing w:line="460" w:lineRule="exact"/>
              <w:ind w:left="0" w:leftChars="0" w:firstLine="0" w:firstLineChars="0"/>
              <w:jc w:val="left"/>
              <w:rPr>
                <w:rFonts w:hint="eastAsia" w:ascii="仿宋" w:hAnsi="仿宋" w:eastAsia="仿宋" w:cs="宋体"/>
                <w:sz w:val="21"/>
                <w:szCs w:val="21"/>
              </w:rPr>
            </w:pPr>
            <w:r>
              <w:rPr>
                <w:rFonts w:hint="eastAsia" w:ascii="仿宋" w:hAnsi="仿宋" w:eastAsia="仿宋" w:cs="宋体"/>
                <w:sz w:val="21"/>
                <w:szCs w:val="21"/>
              </w:rPr>
              <w:t>有效的营业执照（副本）复印件（须加盖公章）。</w:t>
            </w:r>
          </w:p>
        </w:tc>
        <w:tc>
          <w:tcPr>
            <w:tcW w:w="2336" w:type="dxa"/>
            <w:noWrap w:val="0"/>
            <w:vAlign w:val="center"/>
          </w:tcPr>
          <w:p>
            <w:pPr>
              <w:overflowPunct/>
              <w:spacing w:line="460" w:lineRule="exact"/>
              <w:ind w:left="0" w:leftChars="0" w:firstLine="0" w:firstLineChars="0"/>
              <w:jc w:val="center"/>
              <w:rPr>
                <w:rFonts w:hint="eastAsia" w:ascii="仿宋" w:hAnsi="仿宋" w:eastAsia="仿宋" w:cs="宋体"/>
                <w:sz w:val="21"/>
                <w:szCs w:val="21"/>
              </w:rPr>
            </w:pPr>
            <w:r>
              <w:rPr>
                <w:rFonts w:hint="eastAsia" w:ascii="仿宋" w:hAnsi="仿宋" w:eastAsia="仿宋" w:cs="宋体"/>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59" w:type="dxa"/>
            <w:noWrap w:val="0"/>
            <w:vAlign w:val="center"/>
          </w:tcPr>
          <w:p>
            <w:pPr>
              <w:overflowPunct/>
              <w:spacing w:line="460" w:lineRule="exact"/>
              <w:ind w:left="0" w:leftChars="0" w:firstLine="0" w:firstLineChars="0"/>
              <w:jc w:val="center"/>
              <w:rPr>
                <w:rFonts w:hint="eastAsia" w:ascii="仿宋" w:hAnsi="仿宋" w:eastAsia="仿宋" w:cs="宋体"/>
                <w:sz w:val="21"/>
                <w:szCs w:val="21"/>
              </w:rPr>
            </w:pPr>
            <w:r>
              <w:rPr>
                <w:rFonts w:hint="eastAsia" w:ascii="仿宋" w:hAnsi="仿宋" w:eastAsia="仿宋" w:cs="宋体"/>
                <w:sz w:val="21"/>
                <w:szCs w:val="21"/>
              </w:rPr>
              <w:t>2</w:t>
            </w:r>
          </w:p>
        </w:tc>
        <w:tc>
          <w:tcPr>
            <w:tcW w:w="5670" w:type="dxa"/>
            <w:noWrap w:val="0"/>
            <w:vAlign w:val="center"/>
          </w:tcPr>
          <w:p>
            <w:pPr>
              <w:overflowPunct/>
              <w:spacing w:line="460" w:lineRule="exact"/>
              <w:ind w:left="0" w:leftChars="0" w:firstLine="0" w:firstLineChars="0"/>
              <w:jc w:val="left"/>
              <w:rPr>
                <w:rFonts w:hint="eastAsia" w:ascii="仿宋" w:hAnsi="仿宋" w:eastAsia="仿宋" w:cs="宋体"/>
                <w:sz w:val="21"/>
                <w:szCs w:val="21"/>
              </w:rPr>
            </w:pPr>
            <w:r>
              <w:rPr>
                <w:rFonts w:hint="eastAsia" w:ascii="仿宋" w:hAnsi="仿宋" w:eastAsia="仿宋" w:cs="宋体"/>
                <w:sz w:val="21"/>
                <w:szCs w:val="21"/>
              </w:rPr>
              <w:t>法定代表人参加谈判的，必须提供法定代表人身份证明原件及本人身份证原件的复印件（格式附后，须加盖公章）；非法定代表人参加的，必须提供法定代表人签名或盖章的授权委托书原件及被委托授权人身份证原件的复印件（格式附后，须加盖公章）。</w:t>
            </w:r>
          </w:p>
        </w:tc>
        <w:tc>
          <w:tcPr>
            <w:tcW w:w="2336" w:type="dxa"/>
            <w:noWrap w:val="0"/>
            <w:vAlign w:val="center"/>
          </w:tcPr>
          <w:p>
            <w:pPr>
              <w:overflowPunct/>
              <w:spacing w:line="460" w:lineRule="exact"/>
              <w:ind w:left="0" w:leftChars="0" w:firstLine="0" w:firstLineChars="0"/>
              <w:jc w:val="center"/>
              <w:rPr>
                <w:rFonts w:hint="eastAsia" w:ascii="仿宋" w:hAnsi="仿宋" w:eastAsia="仿宋" w:cs="宋体"/>
                <w:sz w:val="21"/>
                <w:szCs w:val="21"/>
              </w:rPr>
            </w:pPr>
            <w:r>
              <w:rPr>
                <w:rFonts w:hint="eastAsia" w:ascii="仿宋" w:hAnsi="仿宋" w:eastAsia="仿宋" w:cs="宋体"/>
                <w:sz w:val="21"/>
                <w:szCs w:val="21"/>
              </w:rPr>
              <w:t>是（√）否（×）</w:t>
            </w:r>
          </w:p>
        </w:tc>
      </w:tr>
    </w:tbl>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【特别提醒】上述表格中的各项证明材料,应提供相应的原件备查。</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7</w:t>
      </w:r>
      <w:r>
        <w:rPr>
          <w:rFonts w:hint="eastAsia" w:ascii="仿宋" w:hAnsi="仿宋" w:eastAsia="仿宋" w:cs="宋体"/>
          <w:sz w:val="28"/>
          <w:szCs w:val="28"/>
        </w:rPr>
        <w:t>.竞价基本原则：遵循“公开、公平、公正、择优、信用”的原则进行竞价。</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8</w:t>
      </w:r>
      <w:r>
        <w:rPr>
          <w:rFonts w:hint="eastAsia" w:ascii="仿宋" w:hAnsi="仿宋" w:eastAsia="仿宋" w:cs="宋体"/>
          <w:sz w:val="28"/>
          <w:szCs w:val="28"/>
        </w:rPr>
        <w:t>.竞价小组应当要求所有参加竞价的供应商在规定时间内进行最后报价（最后报价表由采购单位现场提供），采购人根据符合采购需求、质量和服务相等且最后报价最低的原则确定成交供应商，并将结果通知所有参加竞价的未成交的供应商。</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9</w:t>
      </w:r>
      <w:r>
        <w:rPr>
          <w:rFonts w:hint="eastAsia" w:ascii="仿宋" w:hAnsi="仿宋" w:eastAsia="仿宋" w:cs="宋体"/>
          <w:sz w:val="28"/>
          <w:szCs w:val="28"/>
        </w:rPr>
        <w:t>.符合采购需求、质量和服务相等且报价最低的原则，确定成交人。</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10</w:t>
      </w:r>
      <w:r>
        <w:rPr>
          <w:rFonts w:hint="eastAsia" w:ascii="仿宋" w:hAnsi="仿宋" w:eastAsia="仿宋" w:cs="宋体"/>
          <w:sz w:val="28"/>
          <w:szCs w:val="28"/>
        </w:rPr>
        <w:t>.本次采购项目采取最高限价，报价超出最高限价，作无效竞价响应处理。</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11</w:t>
      </w:r>
      <w:r>
        <w:rPr>
          <w:rFonts w:hint="eastAsia" w:ascii="仿宋" w:hAnsi="仿宋" w:eastAsia="仿宋" w:cs="宋体"/>
          <w:sz w:val="28"/>
          <w:szCs w:val="28"/>
        </w:rPr>
        <w:t>.竞价小组认为供应商报价明显低于其他供应商的报价，有可能影响服务的质量或者不能诚信履约的，应当要求其在竞价现场合理的时间内提供“书面”说明，必要时提交“相关证明”材料；被要求的供应商不能证明其“报价合理性”的，谈判小组应当将其作为无效竞价处理。</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12</w:t>
      </w:r>
      <w:r>
        <w:rPr>
          <w:rFonts w:hint="eastAsia" w:ascii="仿宋" w:hAnsi="仿宋" w:eastAsia="仿宋" w:cs="宋体"/>
          <w:sz w:val="28"/>
          <w:szCs w:val="28"/>
        </w:rPr>
        <w:t>.在竞价过程中，竞价供应商提交的澄清文件和最终报价文件，由竞价供应商的法人代表或被委托受权人签署后生效，竞价供应商受其约束。</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w:t>
      </w:r>
      <w:r>
        <w:rPr>
          <w:rFonts w:hint="eastAsia" w:ascii="仿宋" w:hAnsi="仿宋" w:cs="宋体"/>
          <w:sz w:val="28"/>
          <w:szCs w:val="28"/>
          <w:lang w:val="en-US" w:eastAsia="zh-CN"/>
        </w:rPr>
        <w:t>3</w:t>
      </w:r>
      <w:r>
        <w:rPr>
          <w:rFonts w:hint="eastAsia" w:ascii="仿宋" w:hAnsi="仿宋" w:eastAsia="仿宋" w:cs="宋体"/>
          <w:sz w:val="28"/>
          <w:szCs w:val="28"/>
        </w:rPr>
        <w:t>.竞价小组对竞价响应文件的判定，只依据竞价响应文件内容本身，不依靠竞价采购活动开始后的任何外来证明。</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14</w:t>
      </w:r>
      <w:r>
        <w:rPr>
          <w:rFonts w:hint="eastAsia" w:ascii="仿宋" w:hAnsi="仿宋" w:eastAsia="仿宋" w:cs="宋体"/>
          <w:sz w:val="28"/>
          <w:szCs w:val="28"/>
        </w:rPr>
        <w:t>.竞价采购活动开始后，竞价小组成员对竞价文件的细则若有争议，由竞价小组成员集体讨论确定。竞价小组成员对需要共同认定的事项存在争议的，应当按照少数服从多数的原则作出结论。持不同意见的竞价小组成员应当在竞价报告上签署不同意见及理由，否则视为同意竞价报告。</w:t>
      </w:r>
    </w:p>
    <w:p>
      <w:pPr>
        <w:overflowPunct/>
        <w:spacing w:line="460" w:lineRule="exact"/>
        <w:ind w:firstLine="540"/>
        <w:rPr>
          <w:rFonts w:hint="eastAsia" w:ascii="仿宋" w:hAnsi="仿宋" w:eastAsia="仿宋" w:cs="宋体"/>
          <w:sz w:val="28"/>
          <w:szCs w:val="28"/>
        </w:rPr>
      </w:pPr>
      <w:r>
        <w:rPr>
          <w:rFonts w:hint="eastAsia" w:ascii="仿宋" w:hAnsi="仿宋" w:cs="宋体"/>
          <w:sz w:val="28"/>
          <w:szCs w:val="28"/>
          <w:lang w:val="en-US" w:eastAsia="zh-CN"/>
        </w:rPr>
        <w:t>15</w:t>
      </w:r>
      <w:r>
        <w:rPr>
          <w:rFonts w:hint="eastAsia" w:ascii="仿宋" w:hAnsi="仿宋" w:eastAsia="仿宋" w:cs="宋体"/>
          <w:sz w:val="28"/>
          <w:szCs w:val="28"/>
        </w:rPr>
        <w:t>.竞价小组对竞价未尽情况有最终解释权,且对落标的竞价供应商不做落标原因解释。</w:t>
      </w:r>
    </w:p>
    <w:p>
      <w:pPr>
        <w:overflowPunct/>
        <w:spacing w:line="460" w:lineRule="exact"/>
        <w:ind w:firstLine="540"/>
        <w:rPr>
          <w:rFonts w:hint="eastAsia" w:ascii="黑体" w:hAnsi="黑体" w:eastAsia="黑体" w:cs="宋体"/>
          <w:sz w:val="28"/>
          <w:szCs w:val="28"/>
        </w:rPr>
      </w:pPr>
      <w:bookmarkStart w:id="75" w:name="_Toc46223155"/>
      <w:r>
        <w:rPr>
          <w:rFonts w:hint="eastAsia" w:ascii="黑体" w:hAnsi="黑体" w:eastAsia="黑体" w:cs="宋体"/>
          <w:sz w:val="28"/>
          <w:szCs w:val="28"/>
          <w:lang w:eastAsia="zh-CN"/>
        </w:rPr>
        <w:t>三</w:t>
      </w:r>
      <w:r>
        <w:rPr>
          <w:rFonts w:hint="eastAsia" w:ascii="黑体" w:hAnsi="黑体" w:eastAsia="黑体" w:cs="宋体"/>
          <w:sz w:val="28"/>
          <w:szCs w:val="28"/>
        </w:rPr>
        <w:t>、出现下列情形之一的，作无效竞价处理</w:t>
      </w:r>
      <w:bookmarkEnd w:id="75"/>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1.竞价响应文件未按规定要求装订、密封、签署、盖章及资料不齐全的；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2.竞价响应文件的资料有虚报或者谎报的；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3.不具备竞价文件规定的资格要求的；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4.竞价响应文件有重大漏项或重大不合理的；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5.竞价响应报价超出项目最高限价的；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6.被认定为低于成本报价而竞标的；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7.竞价供应商的报价高于自己前一轮的。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8.以他人的名义竞价、串通竞价、以行贿手段谋取中标或者以其他弄虚作假方式竞价的；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9.竞价响应文件关键内容模糊、无法辨认；</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10.不符合法律、法规和竞价文件中规定的实质性响应要求的；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11.竞价小组认定为其他情况可确定为无效</w:t>
      </w:r>
      <w:r>
        <w:rPr>
          <w:rFonts w:hint="eastAsia" w:ascii="仿宋" w:hAnsi="仿宋" w:cs="宋体"/>
          <w:sz w:val="28"/>
          <w:szCs w:val="28"/>
          <w:lang w:eastAsia="zh-CN"/>
        </w:rPr>
        <w:t>竞价</w:t>
      </w:r>
      <w:r>
        <w:rPr>
          <w:rFonts w:hint="eastAsia" w:ascii="仿宋" w:hAnsi="仿宋" w:eastAsia="仿宋" w:cs="宋体"/>
          <w:sz w:val="28"/>
          <w:szCs w:val="28"/>
        </w:rPr>
        <w:t>的。</w:t>
      </w:r>
    </w:p>
    <w:p>
      <w:pPr>
        <w:overflowPunct/>
        <w:spacing w:line="460" w:lineRule="exact"/>
        <w:ind w:firstLine="540"/>
        <w:rPr>
          <w:rFonts w:hint="eastAsia" w:ascii="黑体" w:hAnsi="黑体" w:eastAsia="黑体" w:cs="宋体"/>
          <w:sz w:val="28"/>
          <w:szCs w:val="28"/>
        </w:rPr>
      </w:pPr>
      <w:bookmarkStart w:id="76" w:name="_Toc46223156"/>
      <w:r>
        <w:rPr>
          <w:rFonts w:hint="eastAsia" w:ascii="黑体" w:hAnsi="黑体" w:eastAsia="黑体" w:cs="宋体"/>
          <w:sz w:val="28"/>
          <w:szCs w:val="28"/>
          <w:lang w:eastAsia="zh-CN"/>
        </w:rPr>
        <w:t>四</w:t>
      </w:r>
      <w:r>
        <w:rPr>
          <w:rFonts w:hint="eastAsia" w:ascii="黑体" w:hAnsi="黑体" w:eastAsia="黑体" w:cs="宋体"/>
          <w:sz w:val="28"/>
          <w:szCs w:val="28"/>
        </w:rPr>
        <w:t>、出现下列情形之一的，作废标处理</w:t>
      </w:r>
      <w:bookmarkEnd w:id="76"/>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1.竞价供应商的报价均超出了采购预算，采购人不能支付的；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2.因情况变化，不再符合规定的竞价采购方式所适用情形的；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3.出现影响采购公正的违法、违规行为的；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4.因重大变故，采购任务取消的。</w:t>
      </w:r>
    </w:p>
    <w:p>
      <w:pPr>
        <w:overflowPunct/>
        <w:spacing w:line="460" w:lineRule="exact"/>
        <w:ind w:firstLine="540"/>
        <w:rPr>
          <w:rFonts w:hint="eastAsia" w:ascii="仿宋" w:hAnsi="仿宋" w:eastAsia="仿宋" w:cs="宋体"/>
          <w:sz w:val="28"/>
          <w:szCs w:val="28"/>
        </w:rPr>
      </w:pPr>
      <w:bookmarkStart w:id="77" w:name="_Toc46223157"/>
      <w:r>
        <w:rPr>
          <w:rFonts w:hint="eastAsia" w:ascii="黑体" w:hAnsi="黑体" w:eastAsia="黑体" w:cs="宋体"/>
          <w:sz w:val="28"/>
          <w:szCs w:val="28"/>
          <w:lang w:eastAsia="zh-CN"/>
        </w:rPr>
        <w:t>五</w:t>
      </w:r>
      <w:r>
        <w:rPr>
          <w:rFonts w:hint="eastAsia" w:ascii="黑体" w:hAnsi="黑体" w:eastAsia="黑体" w:cs="宋体"/>
          <w:sz w:val="28"/>
          <w:szCs w:val="28"/>
        </w:rPr>
        <w:t>、出现下列情形之一的，竞价采购活动终止，发布项目中止公告并说明原因，重新开展采购活动：</w:t>
      </w:r>
      <w:bookmarkEnd w:id="77"/>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1.因情况变化，不再符合规定的竞价采购方式适用情形的；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2.出现影响采购公正的违法、违规行为的</w:t>
      </w:r>
      <w:r>
        <w:rPr>
          <w:rFonts w:hint="eastAsia" w:ascii="仿宋" w:hAnsi="仿宋" w:eastAsia="仿宋" w:cs="宋体"/>
          <w:sz w:val="28"/>
          <w:szCs w:val="28"/>
          <w:lang w:eastAsia="zh-CN"/>
        </w:rPr>
        <w:t>。</w:t>
      </w:r>
    </w:p>
    <w:p>
      <w:pPr>
        <w:overflowPunct/>
        <w:spacing w:line="460" w:lineRule="exact"/>
        <w:ind w:firstLine="540"/>
        <w:rPr>
          <w:rFonts w:hint="eastAsia" w:ascii="仿宋" w:hAnsi="仿宋" w:eastAsia="仿宋" w:cs="宋体"/>
          <w:sz w:val="28"/>
          <w:szCs w:val="28"/>
        </w:rPr>
      </w:pPr>
      <w:bookmarkStart w:id="78" w:name="OLE_LINK2"/>
      <w:bookmarkStart w:id="79" w:name="OLE_LINK1"/>
    </w:p>
    <w:p>
      <w:pPr>
        <w:adjustRightInd/>
        <w:snapToGrid w:val="0"/>
        <w:spacing w:line="360" w:lineRule="auto"/>
        <w:jc w:val="center"/>
        <w:outlineLvl w:val="0"/>
        <w:rPr>
          <w:rFonts w:hint="eastAsia" w:ascii="仿宋" w:hAnsi="仿宋" w:eastAsia="仿宋" w:cs="宋体"/>
          <w:b/>
          <w:bCs/>
          <w:sz w:val="24"/>
        </w:rPr>
      </w:pPr>
      <w:bookmarkStart w:id="80" w:name="_Toc46223159"/>
      <w:bookmarkStart w:id="87" w:name="_GoBack"/>
      <w:bookmarkEnd w:id="87"/>
      <w:r>
        <w:rPr>
          <w:rFonts w:hint="eastAsia" w:ascii="仿宋" w:hAnsi="仿宋" w:eastAsia="仿宋" w:cs="宋体"/>
          <w:b/>
          <w:sz w:val="36"/>
          <w:szCs w:val="30"/>
        </w:rPr>
        <w:t>第五部分</w:t>
      </w:r>
      <w:bookmarkEnd w:id="78"/>
      <w:bookmarkEnd w:id="79"/>
      <w:r>
        <w:rPr>
          <w:rFonts w:hint="eastAsia" w:ascii="仿宋" w:hAnsi="仿宋" w:eastAsia="仿宋" w:cs="宋体"/>
          <w:b/>
          <w:sz w:val="36"/>
          <w:szCs w:val="30"/>
        </w:rPr>
        <w:t xml:space="preserve">  合同授予</w:t>
      </w:r>
      <w:bookmarkEnd w:id="80"/>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一、成交供应商和人大办在竞价中标后2日内按照竞价文件确定的事项分别签订合同。合同各一式三份。所签合同不得对采购文件作实质性修改。采购人不得向成交供应商提出不合理的要求作为签订合同的条件，不得与成交供应商私下订立背离采购文件实质性内容的协议。</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二、成交供应商出现违约情形，应当及时纠正或补偿；造成损失的，按合同约定追究违约责任；发现有假冒、伪劣、走私产品、商业贿赂等违法情形的，应由采购人移交市场监督部门和公安等行政执法部门依法查处。</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三、付款方式：</w:t>
      </w:r>
      <w:r>
        <w:rPr>
          <w:rFonts w:ascii="仿宋" w:hAnsi="仿宋" w:eastAsia="仿宋" w:cs="宋体"/>
          <w:sz w:val="28"/>
          <w:szCs w:val="28"/>
        </w:rPr>
        <w:t>自合同签订生效后，乙方</w:t>
      </w:r>
      <w:r>
        <w:rPr>
          <w:rFonts w:hint="eastAsia" w:ascii="仿宋" w:hAnsi="仿宋" w:cs="宋体"/>
          <w:sz w:val="28"/>
          <w:szCs w:val="28"/>
          <w:lang w:eastAsia="zh-CN"/>
        </w:rPr>
        <w:t>上线</w:t>
      </w:r>
      <w:r>
        <w:rPr>
          <w:rFonts w:ascii="仿宋" w:hAnsi="仿宋" w:eastAsia="仿宋" w:cs="宋体"/>
          <w:sz w:val="28"/>
          <w:szCs w:val="28"/>
        </w:rPr>
        <w:t>后，由甲方向乙方支付金额</w:t>
      </w:r>
      <w:r>
        <w:rPr>
          <w:rFonts w:hint="eastAsia" w:ascii="仿宋" w:hAnsi="仿宋" w:cs="宋体"/>
          <w:sz w:val="28"/>
          <w:szCs w:val="28"/>
          <w:lang w:val="en-US" w:eastAsia="zh-CN"/>
        </w:rPr>
        <w:t>6.3万元</w:t>
      </w:r>
      <w:r>
        <w:rPr>
          <w:rFonts w:ascii="仿宋" w:hAnsi="仿宋" w:eastAsia="仿宋" w:cs="宋体"/>
          <w:sz w:val="28"/>
          <w:szCs w:val="28"/>
        </w:rPr>
        <w:t>，</w:t>
      </w:r>
      <w:r>
        <w:rPr>
          <w:rFonts w:hint="eastAsia" w:ascii="仿宋" w:hAnsi="仿宋" w:cs="宋体"/>
          <w:sz w:val="28"/>
          <w:szCs w:val="28"/>
          <w:lang w:eastAsia="zh-CN"/>
        </w:rPr>
        <w:t>余款待收到第三方渗透测试检测报告并获得该软件的著作权证书后付清。</w:t>
      </w:r>
      <w:r>
        <w:rPr>
          <w:rFonts w:ascii="仿宋" w:hAnsi="仿宋" w:eastAsia="仿宋" w:cs="宋体"/>
          <w:sz w:val="28"/>
          <w:szCs w:val="28"/>
        </w:rPr>
        <w:t>货款结算时，</w:t>
      </w:r>
      <w:r>
        <w:rPr>
          <w:rFonts w:hint="eastAsia" w:ascii="仿宋" w:hAnsi="仿宋" w:cs="宋体"/>
          <w:sz w:val="28"/>
          <w:szCs w:val="28"/>
          <w:lang w:eastAsia="zh-CN"/>
        </w:rPr>
        <w:t>乙方</w:t>
      </w:r>
      <w:r>
        <w:rPr>
          <w:rFonts w:ascii="仿宋" w:hAnsi="仿宋" w:eastAsia="仿宋" w:cs="宋体"/>
          <w:sz w:val="28"/>
          <w:szCs w:val="28"/>
        </w:rPr>
        <w:t>需提供：</w:t>
      </w:r>
      <w:r>
        <w:rPr>
          <w:rFonts w:hint="eastAsia" w:ascii="仿宋" w:hAnsi="仿宋" w:eastAsia="仿宋" w:cs="宋体"/>
          <w:sz w:val="28"/>
          <w:szCs w:val="28"/>
        </w:rPr>
        <w:t>增值税普通发票</w:t>
      </w:r>
      <w:r>
        <w:rPr>
          <w:rFonts w:ascii="仿宋" w:hAnsi="仿宋" w:eastAsia="仿宋" w:cs="宋体"/>
          <w:sz w:val="28"/>
          <w:szCs w:val="28"/>
        </w:rPr>
        <w:t>。</w:t>
      </w:r>
      <w:r>
        <w:rPr>
          <w:rFonts w:hint="eastAsia" w:ascii="仿宋" w:hAnsi="仿宋" w:cs="宋体"/>
          <w:sz w:val="28"/>
          <w:szCs w:val="28"/>
          <w:lang w:val="en-US" w:eastAsia="zh-CN"/>
        </w:rPr>
        <w:t>运维时间从系统上线交付起计。</w:t>
      </w:r>
    </w:p>
    <w:p>
      <w:pPr>
        <w:pStyle w:val="47"/>
        <w:spacing w:before="0" w:beforeAutospacing="0" w:after="0" w:afterAutospacing="0" w:line="500" w:lineRule="exact"/>
        <w:ind w:firstLine="640" w:firstLineChars="200"/>
        <w:rPr>
          <w:rFonts w:hint="eastAsia" w:ascii="仿宋" w:hAnsi="仿宋" w:eastAsia="仿宋" w:cs="仿宋"/>
          <w:bCs/>
          <w:kern w:val="2"/>
          <w:sz w:val="32"/>
          <w:szCs w:val="28"/>
        </w:rPr>
      </w:pPr>
    </w:p>
    <w:p>
      <w:pPr>
        <w:adjustRightInd/>
        <w:snapToGrid w:val="0"/>
        <w:spacing w:line="360" w:lineRule="auto"/>
        <w:ind w:firstLine="482" w:firstLineChars="200"/>
        <w:rPr>
          <w:rFonts w:hint="eastAsia" w:ascii="仿宋" w:hAnsi="仿宋" w:eastAsia="仿宋" w:cs="宋体"/>
          <w:b/>
          <w:bCs/>
          <w:sz w:val="24"/>
          <w:szCs w:val="22"/>
        </w:rPr>
      </w:pPr>
    </w:p>
    <w:p>
      <w:pPr>
        <w:pStyle w:val="12"/>
        <w:overflowPunct w:val="0"/>
        <w:adjustRightInd/>
        <w:snapToGrid w:val="0"/>
        <w:spacing w:line="360" w:lineRule="auto"/>
        <w:ind w:firstLine="560" w:firstLineChars="200"/>
        <w:rPr>
          <w:rFonts w:hint="eastAsia" w:ascii="仿宋" w:hAnsi="仿宋" w:eastAsia="仿宋" w:cs="宋体"/>
          <w:kern w:val="0"/>
        </w:rPr>
      </w:pPr>
    </w:p>
    <w:p>
      <w:pPr>
        <w:pStyle w:val="12"/>
        <w:overflowPunct w:val="0"/>
        <w:adjustRightInd/>
        <w:snapToGrid w:val="0"/>
        <w:spacing w:line="360" w:lineRule="auto"/>
        <w:ind w:firstLine="560" w:firstLineChars="200"/>
        <w:rPr>
          <w:rFonts w:hint="eastAsia" w:ascii="仿宋" w:hAnsi="仿宋" w:eastAsia="仿宋" w:cs="宋体"/>
          <w:kern w:val="0"/>
        </w:rPr>
      </w:pPr>
    </w:p>
    <w:p>
      <w:pPr>
        <w:pStyle w:val="12"/>
        <w:overflowPunct w:val="0"/>
        <w:adjustRightInd/>
        <w:snapToGrid w:val="0"/>
        <w:spacing w:line="360" w:lineRule="auto"/>
        <w:ind w:firstLine="560" w:firstLineChars="200"/>
        <w:rPr>
          <w:rFonts w:hint="eastAsia" w:ascii="仿宋" w:hAnsi="仿宋" w:eastAsia="仿宋" w:cs="宋体"/>
          <w:kern w:val="0"/>
        </w:rPr>
        <w:sectPr>
          <w:headerReference r:id="rId5" w:type="default"/>
          <w:footerReference r:id="rId6" w:type="default"/>
          <w:pgSz w:w="11906" w:h="16838"/>
          <w:pgMar w:top="1134" w:right="1361" w:bottom="907" w:left="1361" w:header="851" w:footer="454" w:gutter="0"/>
          <w:cols w:space="720" w:num="1"/>
          <w:docGrid w:type="lines" w:linePitch="312" w:charSpace="0"/>
        </w:sectPr>
      </w:pPr>
    </w:p>
    <w:p>
      <w:pPr>
        <w:adjustRightInd/>
        <w:snapToGrid w:val="0"/>
        <w:spacing w:line="360" w:lineRule="auto"/>
        <w:jc w:val="center"/>
        <w:outlineLvl w:val="0"/>
        <w:rPr>
          <w:rFonts w:hint="eastAsia" w:ascii="仿宋" w:hAnsi="仿宋" w:eastAsia="仿宋" w:cs="宋体"/>
          <w:b/>
          <w:sz w:val="36"/>
          <w:szCs w:val="30"/>
        </w:rPr>
      </w:pPr>
      <w:bookmarkStart w:id="81" w:name="_Toc46223160"/>
      <w:r>
        <w:rPr>
          <w:rFonts w:hint="eastAsia" w:ascii="仿宋" w:hAnsi="仿宋" w:eastAsia="仿宋" w:cs="宋体"/>
          <w:b/>
          <w:sz w:val="36"/>
          <w:szCs w:val="30"/>
        </w:rPr>
        <w:t>第六部分  响应文件组成及格式</w:t>
      </w:r>
      <w:bookmarkEnd w:id="81"/>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响应文件由资格审查文件和报价两部分组成。本次竞争性谈判项目响应采用资格后审方式，竞价供应商须将资格审查文件作为响应文件组成部分，按要求装订密封后一起递交。</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（一）资格审查文件</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1、法定代表人身份证明书原件（格式见附件</w:t>
      </w:r>
      <w:r>
        <w:rPr>
          <w:rFonts w:hint="eastAsia" w:ascii="仿宋" w:hAnsi="仿宋" w:eastAsia="仿宋" w:cs="宋体"/>
          <w:sz w:val="28"/>
          <w:szCs w:val="28"/>
          <w:lang w:val="en-US" w:eastAsia="zh-CN"/>
        </w:rPr>
        <w:t>1</w:t>
      </w:r>
      <w:r>
        <w:rPr>
          <w:rFonts w:hint="eastAsia" w:ascii="仿宋" w:hAnsi="仿宋" w:eastAsia="仿宋" w:cs="宋体"/>
          <w:sz w:val="28"/>
          <w:szCs w:val="28"/>
        </w:rPr>
        <w:t>）、法定代表人身份证复印件（原件随身备查）（法定代表人参加开标需提供）；</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2、法定代表人针对本项目的授权委托书原件（格式见附件</w:t>
      </w:r>
      <w:r>
        <w:rPr>
          <w:rFonts w:hint="eastAsia" w:ascii="仿宋" w:hAnsi="仿宋" w:eastAsia="仿宋" w:cs="宋体"/>
          <w:sz w:val="28"/>
          <w:szCs w:val="28"/>
          <w:lang w:val="en-US" w:eastAsia="zh-CN"/>
        </w:rPr>
        <w:t>2</w:t>
      </w:r>
      <w:r>
        <w:rPr>
          <w:rFonts w:hint="eastAsia" w:ascii="仿宋" w:hAnsi="仿宋" w:eastAsia="仿宋" w:cs="宋体"/>
          <w:sz w:val="28"/>
          <w:szCs w:val="28"/>
        </w:rPr>
        <w:t>），谈判代表本人身份证复印件（原件随身备查）（授权委托人参加开标需提供）；</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3、有效的营业执照；</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4、竞谈供应商认为须提供的其它资格审查文件。</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以上材料提供复印件加盖单位公章，并携带原件备查。</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（二）商务标文件</w:t>
      </w:r>
    </w:p>
    <w:p>
      <w:pPr>
        <w:overflowPunct/>
        <w:spacing w:line="460" w:lineRule="exact"/>
        <w:ind w:firstLine="540"/>
        <w:rPr>
          <w:rFonts w:hint="eastAsia" w:ascii="仿宋" w:hAnsi="仿宋" w:eastAsia="仿宋" w:cs="宋体"/>
          <w:sz w:val="28"/>
          <w:szCs w:val="28"/>
        </w:rPr>
      </w:pPr>
      <w:r>
        <w:rPr>
          <w:rFonts w:hint="eastAsia" w:ascii="仿宋" w:hAnsi="仿宋" w:eastAsia="仿宋" w:cs="宋体"/>
          <w:sz w:val="28"/>
          <w:szCs w:val="28"/>
        </w:rPr>
        <w:t>1、竞价函（格式见附件</w:t>
      </w:r>
      <w:r>
        <w:rPr>
          <w:rFonts w:hint="eastAsia" w:ascii="仿宋" w:hAnsi="仿宋" w:eastAsia="仿宋" w:cs="宋体"/>
          <w:sz w:val="28"/>
          <w:szCs w:val="28"/>
          <w:lang w:val="en-US" w:eastAsia="zh-CN"/>
        </w:rPr>
        <w:t>4</w:t>
      </w:r>
      <w:r>
        <w:rPr>
          <w:rFonts w:hint="eastAsia" w:ascii="仿宋" w:hAnsi="仿宋" w:eastAsia="仿宋" w:cs="宋体"/>
          <w:sz w:val="28"/>
          <w:szCs w:val="28"/>
        </w:rPr>
        <w:t>）；</w:t>
      </w:r>
    </w:p>
    <w:p>
      <w:pPr>
        <w:overflowPunct/>
        <w:spacing w:line="460" w:lineRule="exact"/>
        <w:ind w:firstLine="540"/>
        <w:rPr>
          <w:rFonts w:hint="eastAsia" w:ascii="仿宋" w:hAnsi="仿宋" w:eastAsia="仿宋" w:cs="宋体"/>
          <w:sz w:val="28"/>
          <w:szCs w:val="28"/>
          <w:lang w:val="en-US" w:eastAsia="zh-CN"/>
        </w:rPr>
      </w:pPr>
      <w:r>
        <w:rPr>
          <w:rFonts w:hint="eastAsia" w:ascii="仿宋" w:hAnsi="仿宋" w:eastAsia="仿宋" w:cs="宋体"/>
          <w:sz w:val="28"/>
          <w:szCs w:val="28"/>
        </w:rPr>
        <w:t>2、报价一览表（格式见附件</w:t>
      </w:r>
      <w:r>
        <w:rPr>
          <w:rFonts w:hint="eastAsia" w:ascii="仿宋" w:hAnsi="仿宋" w:eastAsia="仿宋" w:cs="宋体"/>
          <w:sz w:val="28"/>
          <w:szCs w:val="28"/>
          <w:lang w:val="en-US" w:eastAsia="zh-CN"/>
        </w:rPr>
        <w:t>5</w:t>
      </w:r>
      <w:r>
        <w:rPr>
          <w:rFonts w:hint="eastAsia" w:ascii="仿宋" w:hAnsi="仿宋" w:eastAsia="仿宋" w:cs="宋体"/>
          <w:sz w:val="28"/>
          <w:szCs w:val="28"/>
        </w:rPr>
        <w:t>）</w:t>
      </w:r>
      <w:r>
        <w:rPr>
          <w:rFonts w:hint="eastAsia" w:ascii="仿宋" w:hAnsi="仿宋" w:eastAsia="仿宋" w:cs="宋体"/>
          <w:sz w:val="28"/>
          <w:szCs w:val="28"/>
          <w:lang w:val="en-US" w:eastAsia="zh-CN"/>
        </w:rPr>
        <w:t>。</w:t>
      </w:r>
    </w:p>
    <w:p>
      <w:pPr>
        <w:overflowPunct/>
        <w:spacing w:line="460" w:lineRule="exact"/>
        <w:ind w:firstLine="540"/>
        <w:rPr>
          <w:rFonts w:hint="eastAsia" w:ascii="仿宋" w:hAnsi="仿宋" w:eastAsia="仿宋" w:cs="宋体"/>
          <w:sz w:val="28"/>
          <w:szCs w:val="28"/>
        </w:rPr>
      </w:pPr>
    </w:p>
    <w:p>
      <w:pPr>
        <w:overflowPunct/>
        <w:spacing w:line="460" w:lineRule="exact"/>
        <w:ind w:firstLine="540"/>
        <w:rPr>
          <w:rFonts w:hint="eastAsia" w:ascii="仿宋" w:hAnsi="仿宋" w:eastAsia="仿宋" w:cs="宋体"/>
          <w:b/>
          <w:sz w:val="28"/>
        </w:rPr>
      </w:pPr>
      <w:r>
        <w:rPr>
          <w:rFonts w:hint="eastAsia" w:ascii="仿宋" w:hAnsi="仿宋" w:eastAsia="仿宋" w:cs="宋体"/>
          <w:sz w:val="28"/>
          <w:szCs w:val="28"/>
        </w:rPr>
        <w:br w:type="page"/>
      </w:r>
      <w:r>
        <w:rPr>
          <w:rFonts w:hint="eastAsia" w:ascii="仿宋" w:hAnsi="仿宋" w:eastAsia="仿宋" w:cs="宋体"/>
          <w:b/>
          <w:sz w:val="24"/>
        </w:rPr>
        <w:t>附件1：</w:t>
      </w:r>
    </w:p>
    <w:p>
      <w:pPr>
        <w:adjustRightInd/>
        <w:snapToGrid w:val="0"/>
        <w:spacing w:line="360" w:lineRule="auto"/>
        <w:ind w:firstLine="562" w:firstLineChars="200"/>
        <w:jc w:val="center"/>
        <w:rPr>
          <w:rFonts w:hint="eastAsia" w:ascii="仿宋" w:hAnsi="仿宋" w:eastAsia="仿宋" w:cs="宋体"/>
          <w:sz w:val="36"/>
          <w:szCs w:val="24"/>
        </w:rPr>
      </w:pPr>
      <w:bookmarkStart w:id="82" w:name="_Toc45031854"/>
      <w:bookmarkStart w:id="83" w:name="_Toc45031220"/>
      <w:bookmarkStart w:id="84" w:name="_Toc42073476"/>
      <w:bookmarkStart w:id="85" w:name="_Toc42079450"/>
      <w:bookmarkStart w:id="86" w:name="_Toc36957723"/>
      <w:r>
        <w:rPr>
          <w:rFonts w:hint="eastAsia" w:ascii="仿宋" w:hAnsi="仿宋" w:eastAsia="仿宋" w:cs="宋体"/>
          <w:b/>
          <w:szCs w:val="28"/>
        </w:rPr>
        <w:t>法定代表人身份证明书</w:t>
      </w:r>
      <w:bookmarkEnd w:id="82"/>
      <w:bookmarkEnd w:id="83"/>
      <w:bookmarkEnd w:id="84"/>
      <w:bookmarkEnd w:id="85"/>
      <w:bookmarkEnd w:id="86"/>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单位名称：</w:t>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 xml:space="preserve">             </w:t>
      </w:r>
      <w:r>
        <w:rPr>
          <w:rFonts w:hint="eastAsia" w:ascii="仿宋" w:hAnsi="仿宋" w:eastAsia="仿宋" w:cs="宋体"/>
          <w:sz w:val="28"/>
          <w:szCs w:val="24"/>
          <w:u w:val="single"/>
        </w:rPr>
        <w:tab/>
      </w:r>
      <w:r>
        <w:rPr>
          <w:rFonts w:hint="eastAsia" w:ascii="仿宋" w:hAnsi="仿宋" w:eastAsia="仿宋" w:cs="宋体"/>
          <w:sz w:val="28"/>
          <w:szCs w:val="24"/>
          <w:u w:val="single"/>
        </w:rPr>
        <w:tab/>
      </w:r>
    </w:p>
    <w:p>
      <w:pPr>
        <w:pStyle w:val="48"/>
        <w:adjustRightInd/>
        <w:snapToGrid w:val="0"/>
        <w:spacing w:line="360" w:lineRule="auto"/>
        <w:ind w:firstLine="560" w:firstLineChars="200"/>
        <w:rPr>
          <w:rFonts w:hint="eastAsia" w:ascii="仿宋" w:hAnsi="仿宋" w:eastAsia="仿宋" w:cs="宋体"/>
          <w:sz w:val="28"/>
          <w:szCs w:val="24"/>
          <w:u w:val="single"/>
        </w:rPr>
      </w:pPr>
      <w:r>
        <w:rPr>
          <w:rFonts w:hint="eastAsia" w:ascii="仿宋" w:hAnsi="仿宋" w:eastAsia="仿宋" w:cs="宋体"/>
          <w:sz w:val="28"/>
          <w:szCs w:val="24"/>
        </w:rPr>
        <w:t>单位性质：</w:t>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 xml:space="preserve">             </w:t>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p>
    <w:p>
      <w:pPr>
        <w:pStyle w:val="48"/>
        <w:adjustRightInd/>
        <w:snapToGrid w:val="0"/>
        <w:spacing w:line="360" w:lineRule="auto"/>
        <w:ind w:firstLine="560" w:firstLineChars="200"/>
        <w:rPr>
          <w:rFonts w:hint="eastAsia" w:ascii="仿宋" w:hAnsi="仿宋" w:eastAsia="仿宋" w:cs="宋体"/>
          <w:sz w:val="28"/>
          <w:szCs w:val="24"/>
          <w:u w:val="single"/>
        </w:rPr>
      </w:pPr>
      <w:r>
        <w:rPr>
          <w:rFonts w:hint="eastAsia" w:ascii="仿宋" w:hAnsi="仿宋" w:eastAsia="仿宋" w:cs="宋体"/>
          <w:sz w:val="28"/>
          <w:szCs w:val="24"/>
        </w:rPr>
        <w:t>地    址：</w:t>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 xml:space="preserve">  </w:t>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 xml:space="preserve">              </w:t>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r>
        <w:rPr>
          <w:rFonts w:hint="eastAsia" w:ascii="仿宋" w:hAnsi="仿宋" w:eastAsia="仿宋" w:cs="宋体"/>
          <w:sz w:val="28"/>
          <w:szCs w:val="24"/>
          <w:u w:val="single"/>
        </w:rPr>
        <w:tab/>
      </w:r>
    </w:p>
    <w:p>
      <w:pPr>
        <w:pStyle w:val="48"/>
        <w:adjustRightInd/>
        <w:snapToGrid w:val="0"/>
        <w:spacing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成立时间：</w:t>
      </w:r>
      <w:r>
        <w:rPr>
          <w:rFonts w:hint="eastAsia" w:ascii="仿宋" w:hAnsi="仿宋" w:eastAsia="仿宋" w:cs="宋体"/>
          <w:sz w:val="28"/>
          <w:szCs w:val="24"/>
          <w:u w:val="single"/>
        </w:rPr>
        <w:t xml:space="preserve">          </w:t>
      </w:r>
      <w:r>
        <w:rPr>
          <w:rFonts w:hint="eastAsia" w:ascii="仿宋" w:hAnsi="仿宋" w:eastAsia="仿宋" w:cs="宋体"/>
          <w:sz w:val="28"/>
          <w:szCs w:val="24"/>
        </w:rPr>
        <w:t>年</w:t>
      </w:r>
      <w:r>
        <w:rPr>
          <w:rFonts w:hint="eastAsia" w:ascii="仿宋" w:hAnsi="仿宋" w:eastAsia="仿宋" w:cs="宋体"/>
          <w:sz w:val="28"/>
          <w:szCs w:val="24"/>
          <w:u w:val="single"/>
        </w:rPr>
        <w:t xml:space="preserve">          </w:t>
      </w:r>
      <w:r>
        <w:rPr>
          <w:rFonts w:hint="eastAsia" w:ascii="仿宋" w:hAnsi="仿宋" w:eastAsia="仿宋" w:cs="宋体"/>
          <w:sz w:val="28"/>
          <w:szCs w:val="24"/>
        </w:rPr>
        <w:t>月</w:t>
      </w:r>
      <w:r>
        <w:rPr>
          <w:rFonts w:hint="eastAsia" w:ascii="仿宋" w:hAnsi="仿宋" w:eastAsia="仿宋" w:cs="宋体"/>
          <w:sz w:val="28"/>
          <w:szCs w:val="24"/>
          <w:u w:val="single"/>
        </w:rPr>
        <w:t xml:space="preserve">           </w:t>
      </w:r>
      <w:r>
        <w:rPr>
          <w:rFonts w:hint="eastAsia" w:ascii="仿宋" w:hAnsi="仿宋" w:eastAsia="仿宋" w:cs="宋体"/>
          <w:sz w:val="28"/>
          <w:szCs w:val="24"/>
        </w:rPr>
        <w:t>日</w:t>
      </w:r>
    </w:p>
    <w:p>
      <w:pPr>
        <w:pStyle w:val="48"/>
        <w:adjustRightInd/>
        <w:snapToGrid w:val="0"/>
        <w:spacing w:line="360" w:lineRule="auto"/>
        <w:ind w:firstLine="560" w:firstLineChars="200"/>
        <w:rPr>
          <w:rFonts w:hint="eastAsia" w:ascii="仿宋" w:hAnsi="仿宋" w:eastAsia="仿宋" w:cs="宋体"/>
          <w:sz w:val="28"/>
          <w:szCs w:val="24"/>
          <w:u w:val="single"/>
        </w:rPr>
      </w:pPr>
      <w:r>
        <w:rPr>
          <w:rFonts w:hint="eastAsia" w:ascii="仿宋" w:hAnsi="仿宋" w:eastAsia="仿宋" w:cs="宋体"/>
          <w:sz w:val="28"/>
          <w:szCs w:val="24"/>
        </w:rPr>
        <w:t>经营期限：</w:t>
      </w:r>
      <w:r>
        <w:rPr>
          <w:rFonts w:hint="eastAsia" w:ascii="仿宋" w:hAnsi="仿宋" w:eastAsia="仿宋" w:cs="宋体"/>
          <w:sz w:val="28"/>
          <w:szCs w:val="24"/>
          <w:u w:val="single"/>
        </w:rPr>
        <w:tab/>
      </w:r>
      <w:r>
        <w:rPr>
          <w:rFonts w:hint="eastAsia" w:ascii="仿宋" w:hAnsi="仿宋" w:eastAsia="仿宋" w:cs="宋体"/>
          <w:sz w:val="28"/>
          <w:szCs w:val="24"/>
          <w:u w:val="single"/>
        </w:rPr>
        <w:t xml:space="preserve">                                  </w:t>
      </w:r>
      <w:r>
        <w:rPr>
          <w:rFonts w:hint="eastAsia" w:ascii="仿宋" w:hAnsi="仿宋" w:eastAsia="仿宋" w:cs="宋体"/>
          <w:sz w:val="28"/>
          <w:szCs w:val="24"/>
          <w:u w:val="single"/>
        </w:rPr>
        <w:tab/>
      </w:r>
    </w:p>
    <w:p>
      <w:pPr>
        <w:pStyle w:val="48"/>
        <w:adjustRightInd/>
        <w:snapToGrid w:val="0"/>
        <w:spacing w:line="360" w:lineRule="auto"/>
        <w:ind w:firstLine="560" w:firstLineChars="200"/>
        <w:rPr>
          <w:rFonts w:hint="eastAsia" w:ascii="仿宋" w:hAnsi="仿宋" w:eastAsia="仿宋" w:cs="宋体"/>
          <w:sz w:val="28"/>
          <w:szCs w:val="24"/>
          <w:u w:val="single"/>
        </w:rPr>
      </w:pPr>
      <w:r>
        <w:rPr>
          <w:rFonts w:hint="eastAsia" w:ascii="仿宋" w:hAnsi="仿宋" w:eastAsia="仿宋" w:cs="宋体"/>
          <w:sz w:val="28"/>
          <w:szCs w:val="24"/>
        </w:rPr>
        <w:t>姓    名：</w:t>
      </w:r>
      <w:r>
        <w:rPr>
          <w:rFonts w:hint="eastAsia" w:ascii="仿宋" w:hAnsi="仿宋" w:eastAsia="仿宋" w:cs="宋体"/>
          <w:sz w:val="28"/>
          <w:szCs w:val="24"/>
          <w:u w:val="single"/>
        </w:rPr>
        <w:t xml:space="preserve">        </w:t>
      </w:r>
      <w:r>
        <w:rPr>
          <w:rFonts w:hint="eastAsia" w:ascii="仿宋" w:hAnsi="仿宋" w:eastAsia="仿宋" w:cs="宋体"/>
          <w:sz w:val="28"/>
          <w:szCs w:val="24"/>
        </w:rPr>
        <w:t xml:space="preserve"> 性别：</w:t>
      </w:r>
      <w:r>
        <w:rPr>
          <w:rFonts w:hint="eastAsia" w:ascii="仿宋" w:hAnsi="仿宋" w:eastAsia="仿宋" w:cs="宋体"/>
          <w:sz w:val="28"/>
          <w:szCs w:val="24"/>
          <w:u w:val="single"/>
        </w:rPr>
        <w:t xml:space="preserve">     </w:t>
      </w:r>
      <w:r>
        <w:rPr>
          <w:rFonts w:hint="eastAsia" w:ascii="仿宋" w:hAnsi="仿宋" w:eastAsia="仿宋" w:cs="宋体"/>
          <w:sz w:val="28"/>
          <w:szCs w:val="24"/>
        </w:rPr>
        <w:t>年龄：</w:t>
      </w:r>
      <w:r>
        <w:rPr>
          <w:rFonts w:hint="eastAsia" w:ascii="仿宋" w:hAnsi="仿宋" w:eastAsia="仿宋" w:cs="宋体"/>
          <w:sz w:val="28"/>
          <w:szCs w:val="24"/>
          <w:u w:val="single"/>
        </w:rPr>
        <w:t xml:space="preserve">      </w:t>
      </w:r>
      <w:r>
        <w:rPr>
          <w:rFonts w:hint="eastAsia" w:ascii="仿宋" w:hAnsi="仿宋" w:eastAsia="仿宋" w:cs="宋体"/>
          <w:sz w:val="28"/>
          <w:szCs w:val="24"/>
        </w:rPr>
        <w:t xml:space="preserve"> 职务：</w:t>
      </w:r>
      <w:r>
        <w:rPr>
          <w:rFonts w:hint="eastAsia" w:ascii="仿宋" w:hAnsi="仿宋" w:eastAsia="仿宋" w:cs="宋体"/>
          <w:sz w:val="28"/>
          <w:szCs w:val="24"/>
          <w:u w:val="single"/>
        </w:rPr>
        <w:t xml:space="preserve">       </w:t>
      </w:r>
    </w:p>
    <w:p>
      <w:pPr>
        <w:pStyle w:val="48"/>
        <w:adjustRightInd/>
        <w:snapToGrid w:val="0"/>
        <w:spacing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系</w:t>
      </w:r>
      <w:r>
        <w:rPr>
          <w:rFonts w:hint="eastAsia" w:ascii="仿宋" w:hAnsi="仿宋" w:eastAsia="仿宋" w:cs="宋体"/>
          <w:sz w:val="28"/>
          <w:szCs w:val="24"/>
          <w:u w:val="single"/>
        </w:rPr>
        <w:t xml:space="preserve">          （供应商单位名称）       </w:t>
      </w:r>
      <w:r>
        <w:rPr>
          <w:rFonts w:hint="eastAsia" w:ascii="仿宋" w:hAnsi="仿宋" w:eastAsia="仿宋" w:cs="宋体"/>
          <w:sz w:val="28"/>
          <w:szCs w:val="24"/>
        </w:rPr>
        <w:t>的法定代表人。</w:t>
      </w:r>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特此证明。</w:t>
      </w:r>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jc w:val="right"/>
        <w:rPr>
          <w:rFonts w:hint="eastAsia" w:ascii="仿宋" w:hAnsi="仿宋" w:eastAsia="仿宋" w:cs="宋体"/>
          <w:sz w:val="28"/>
          <w:szCs w:val="24"/>
        </w:rPr>
      </w:pPr>
      <w:r>
        <w:rPr>
          <w:rFonts w:hint="eastAsia" w:ascii="仿宋" w:hAnsi="仿宋" w:eastAsia="仿宋" w:cs="宋体"/>
          <w:sz w:val="28"/>
          <w:szCs w:val="24"/>
        </w:rPr>
        <w:t>竞价供应商（盖章）：</w:t>
      </w:r>
    </w:p>
    <w:p>
      <w:pPr>
        <w:pStyle w:val="48"/>
        <w:adjustRightInd/>
        <w:snapToGrid w:val="0"/>
        <w:spacing w:line="360" w:lineRule="auto"/>
        <w:ind w:firstLine="560" w:firstLineChars="200"/>
        <w:jc w:val="right"/>
        <w:rPr>
          <w:rFonts w:hint="eastAsia" w:ascii="仿宋" w:hAnsi="仿宋" w:eastAsia="仿宋" w:cs="宋体"/>
          <w:sz w:val="28"/>
          <w:szCs w:val="24"/>
        </w:rPr>
      </w:pPr>
      <w:r>
        <w:rPr>
          <w:rFonts w:hint="eastAsia" w:ascii="仿宋" w:hAnsi="仿宋" w:eastAsia="仿宋" w:cs="宋体"/>
          <w:sz w:val="28"/>
          <w:szCs w:val="24"/>
        </w:rPr>
        <w:t>法定代表人（签字或盖章）：</w:t>
      </w:r>
    </w:p>
    <w:p>
      <w:pPr>
        <w:pStyle w:val="48"/>
        <w:adjustRightInd/>
        <w:snapToGrid w:val="0"/>
        <w:spacing w:line="360" w:lineRule="auto"/>
        <w:ind w:firstLine="560" w:firstLineChars="200"/>
        <w:jc w:val="right"/>
        <w:rPr>
          <w:rFonts w:hint="eastAsia" w:ascii="仿宋" w:hAnsi="仿宋" w:eastAsia="仿宋" w:cs="宋体"/>
          <w:sz w:val="28"/>
          <w:szCs w:val="24"/>
        </w:rPr>
      </w:pPr>
      <w:r>
        <w:rPr>
          <w:rFonts w:hint="eastAsia" w:ascii="仿宋" w:hAnsi="仿宋" w:eastAsia="仿宋" w:cs="宋体"/>
          <w:sz w:val="28"/>
          <w:szCs w:val="24"/>
        </w:rPr>
        <w:t>日期：</w:t>
      </w:r>
    </w:p>
    <w:p>
      <w:pPr>
        <w:pStyle w:val="48"/>
        <w:adjustRightInd/>
        <w:snapToGrid w:val="0"/>
        <w:spacing w:line="360" w:lineRule="auto"/>
        <w:ind w:firstLine="480" w:firstLineChars="200"/>
        <w:rPr>
          <w:rFonts w:hint="eastAsia" w:ascii="仿宋" w:hAnsi="仿宋" w:eastAsia="仿宋" w:cs="宋体"/>
          <w:szCs w:val="24"/>
        </w:rPr>
      </w:pPr>
    </w:p>
    <w:p>
      <w:pPr>
        <w:adjustRightInd/>
        <w:snapToGrid w:val="0"/>
        <w:spacing w:line="360" w:lineRule="auto"/>
        <w:ind w:firstLine="482" w:firstLineChars="200"/>
        <w:rPr>
          <w:rFonts w:hint="eastAsia" w:ascii="仿宋" w:hAnsi="仿宋" w:eastAsia="仿宋" w:cs="宋体"/>
          <w:b/>
          <w:bCs/>
          <w:sz w:val="24"/>
        </w:rPr>
      </w:pPr>
      <w:r>
        <w:rPr>
          <w:rFonts w:hint="eastAsia" w:ascii="仿宋" w:hAnsi="仿宋" w:eastAsia="仿宋" w:cs="宋体"/>
          <w:b/>
          <w:bCs/>
          <w:sz w:val="24"/>
        </w:rPr>
        <w:br w:type="page"/>
      </w:r>
      <w:r>
        <w:rPr>
          <w:rFonts w:hint="eastAsia" w:ascii="仿宋" w:hAnsi="仿宋" w:eastAsia="仿宋" w:cs="宋体"/>
          <w:b/>
          <w:sz w:val="24"/>
        </w:rPr>
        <w:t>附件2：</w:t>
      </w:r>
    </w:p>
    <w:p>
      <w:pPr>
        <w:adjustRightInd/>
        <w:snapToGrid w:val="0"/>
        <w:spacing w:line="360" w:lineRule="auto"/>
        <w:ind w:firstLine="562" w:firstLineChars="200"/>
        <w:jc w:val="center"/>
        <w:rPr>
          <w:rFonts w:hint="eastAsia" w:ascii="仿宋" w:hAnsi="仿宋" w:eastAsia="仿宋" w:cs="宋体"/>
          <w:b/>
          <w:szCs w:val="28"/>
        </w:rPr>
      </w:pPr>
      <w:r>
        <w:rPr>
          <w:rFonts w:hint="eastAsia" w:ascii="仿宋" w:hAnsi="仿宋" w:eastAsia="仿宋" w:cs="宋体"/>
          <w:b/>
          <w:szCs w:val="28"/>
        </w:rPr>
        <w:t>授权委托书</w:t>
      </w:r>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本授权委托书声明：我</w:t>
      </w:r>
      <w:r>
        <w:rPr>
          <w:rFonts w:hint="eastAsia" w:ascii="仿宋" w:hAnsi="仿宋" w:eastAsia="仿宋" w:cs="宋体"/>
          <w:sz w:val="28"/>
          <w:szCs w:val="24"/>
          <w:u w:val="single"/>
        </w:rPr>
        <w:t xml:space="preserve">             </w:t>
      </w:r>
      <w:r>
        <w:rPr>
          <w:rFonts w:hint="eastAsia" w:ascii="仿宋" w:hAnsi="仿宋" w:eastAsia="仿宋" w:cs="宋体"/>
          <w:sz w:val="28"/>
          <w:szCs w:val="24"/>
        </w:rPr>
        <w:t>（姓名）系</w:t>
      </w:r>
      <w:r>
        <w:rPr>
          <w:rFonts w:hint="eastAsia" w:ascii="仿宋" w:hAnsi="仿宋" w:eastAsia="仿宋" w:cs="宋体"/>
          <w:sz w:val="28"/>
          <w:szCs w:val="24"/>
          <w:u w:val="single"/>
        </w:rPr>
        <w:t xml:space="preserve">  （供应商名称）</w:t>
      </w:r>
      <w:r>
        <w:rPr>
          <w:rFonts w:hint="eastAsia" w:ascii="仿宋" w:hAnsi="仿宋" w:eastAsia="仿宋" w:cs="宋体"/>
          <w:sz w:val="28"/>
          <w:szCs w:val="24"/>
        </w:rPr>
        <w:t>的法定代表人，现授权委托</w:t>
      </w:r>
      <w:r>
        <w:rPr>
          <w:rFonts w:hint="eastAsia" w:ascii="仿宋" w:hAnsi="仿宋" w:eastAsia="仿宋" w:cs="宋体"/>
          <w:sz w:val="28"/>
          <w:szCs w:val="24"/>
          <w:u w:val="single"/>
        </w:rPr>
        <w:t xml:space="preserve">      （单位名称）   </w:t>
      </w:r>
      <w:r>
        <w:rPr>
          <w:rFonts w:hint="eastAsia" w:ascii="仿宋" w:hAnsi="仿宋" w:eastAsia="仿宋" w:cs="宋体"/>
          <w:sz w:val="28"/>
          <w:szCs w:val="24"/>
        </w:rPr>
        <w:t>的</w:t>
      </w:r>
      <w:r>
        <w:rPr>
          <w:rFonts w:hint="eastAsia" w:ascii="仿宋" w:hAnsi="仿宋" w:eastAsia="仿宋" w:cs="宋体"/>
          <w:sz w:val="28"/>
          <w:szCs w:val="24"/>
          <w:u w:val="single"/>
        </w:rPr>
        <w:t xml:space="preserve">    （姓名）    </w:t>
      </w:r>
      <w:r>
        <w:rPr>
          <w:rFonts w:hint="eastAsia" w:ascii="仿宋" w:hAnsi="仿宋" w:eastAsia="仿宋" w:cs="宋体"/>
          <w:sz w:val="28"/>
          <w:szCs w:val="24"/>
        </w:rPr>
        <w:t>为我单位签署本项目的竞价响应文件的法定代表人授权委托代理人，我承认代理人全权代表我所签署的本项目的竞价响应文件的内容。</w:t>
      </w:r>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代理人无转委托权，特此委托。</w:t>
      </w:r>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rPr>
          <w:rFonts w:hint="eastAsia" w:ascii="仿宋" w:hAnsi="仿宋" w:eastAsia="仿宋" w:cs="宋体"/>
          <w:sz w:val="28"/>
          <w:szCs w:val="24"/>
          <w:u w:val="single"/>
        </w:rPr>
      </w:pPr>
      <w:r>
        <w:rPr>
          <w:rFonts w:hint="eastAsia" w:ascii="仿宋" w:hAnsi="仿宋" w:eastAsia="仿宋" w:cs="宋体"/>
          <w:sz w:val="28"/>
          <w:szCs w:val="24"/>
        </w:rPr>
        <w:t>代理人：</w:t>
      </w:r>
      <w:r>
        <w:rPr>
          <w:rFonts w:hint="eastAsia" w:ascii="仿宋" w:hAnsi="仿宋" w:eastAsia="仿宋" w:cs="宋体"/>
          <w:sz w:val="28"/>
          <w:szCs w:val="24"/>
          <w:u w:val="single"/>
        </w:rPr>
        <w:t xml:space="preserve">   （签字）   </w:t>
      </w:r>
      <w:r>
        <w:rPr>
          <w:rFonts w:hint="eastAsia" w:ascii="仿宋" w:hAnsi="仿宋" w:eastAsia="仿宋" w:cs="宋体"/>
          <w:sz w:val="28"/>
          <w:szCs w:val="24"/>
        </w:rPr>
        <w:t>性别 ：</w:t>
      </w:r>
      <w:r>
        <w:rPr>
          <w:rFonts w:hint="eastAsia" w:ascii="仿宋" w:hAnsi="仿宋" w:eastAsia="仿宋" w:cs="宋体"/>
          <w:sz w:val="28"/>
          <w:szCs w:val="24"/>
          <w:u w:val="single"/>
        </w:rPr>
        <w:t xml:space="preserve">            </w:t>
      </w:r>
      <w:r>
        <w:rPr>
          <w:rFonts w:hint="eastAsia" w:ascii="仿宋" w:hAnsi="仿宋" w:eastAsia="仿宋" w:cs="宋体"/>
          <w:sz w:val="28"/>
          <w:szCs w:val="24"/>
        </w:rPr>
        <w:t>年龄：</w:t>
      </w:r>
      <w:r>
        <w:rPr>
          <w:rFonts w:hint="eastAsia" w:ascii="仿宋" w:hAnsi="仿宋" w:eastAsia="仿宋" w:cs="宋体"/>
          <w:sz w:val="28"/>
          <w:szCs w:val="24"/>
          <w:u w:val="single"/>
        </w:rPr>
        <w:t xml:space="preserve">       </w:t>
      </w:r>
    </w:p>
    <w:p>
      <w:pPr>
        <w:pStyle w:val="48"/>
        <w:adjustRightInd/>
        <w:snapToGrid w:val="0"/>
        <w:spacing w:line="360" w:lineRule="auto"/>
        <w:ind w:firstLine="560" w:firstLineChars="200"/>
        <w:rPr>
          <w:rFonts w:hint="eastAsia" w:ascii="仿宋" w:hAnsi="仿宋" w:eastAsia="仿宋" w:cs="宋体"/>
          <w:sz w:val="28"/>
          <w:szCs w:val="24"/>
        </w:rPr>
      </w:pPr>
      <w:r>
        <w:rPr>
          <w:rFonts w:hint="eastAsia" w:ascii="仿宋" w:hAnsi="仿宋" w:eastAsia="仿宋" w:cs="宋体"/>
          <w:sz w:val="28"/>
          <w:szCs w:val="24"/>
        </w:rPr>
        <w:t>身份证号码：</w:t>
      </w:r>
      <w:r>
        <w:rPr>
          <w:rFonts w:hint="eastAsia" w:ascii="仿宋" w:hAnsi="仿宋" w:eastAsia="仿宋" w:cs="宋体"/>
          <w:sz w:val="28"/>
          <w:szCs w:val="24"/>
          <w:u w:val="single"/>
        </w:rPr>
        <w:t xml:space="preserve">                    </w:t>
      </w:r>
      <w:r>
        <w:rPr>
          <w:rFonts w:hint="eastAsia" w:ascii="仿宋" w:hAnsi="仿宋" w:eastAsia="仿宋" w:cs="宋体"/>
          <w:sz w:val="28"/>
          <w:szCs w:val="24"/>
        </w:rPr>
        <w:t>职务：</w:t>
      </w:r>
      <w:r>
        <w:rPr>
          <w:rFonts w:hint="eastAsia" w:ascii="仿宋" w:hAnsi="仿宋" w:eastAsia="仿宋" w:cs="宋体"/>
          <w:sz w:val="28"/>
          <w:szCs w:val="24"/>
          <w:u w:val="single"/>
        </w:rPr>
        <w:t xml:space="preserve">               </w:t>
      </w:r>
      <w:r>
        <w:rPr>
          <w:rFonts w:hint="eastAsia" w:ascii="仿宋" w:hAnsi="仿宋" w:eastAsia="仿宋" w:cs="宋体"/>
          <w:sz w:val="28"/>
          <w:szCs w:val="24"/>
        </w:rPr>
        <w:t xml:space="preserve"> </w:t>
      </w:r>
    </w:p>
    <w:p>
      <w:pPr>
        <w:pStyle w:val="48"/>
        <w:adjustRightInd/>
        <w:snapToGrid w:val="0"/>
        <w:spacing w:line="360" w:lineRule="auto"/>
        <w:ind w:firstLine="560" w:firstLineChars="200"/>
        <w:rPr>
          <w:rFonts w:hint="eastAsia" w:ascii="仿宋" w:hAnsi="仿宋" w:eastAsia="仿宋" w:cs="宋体"/>
          <w:sz w:val="28"/>
          <w:szCs w:val="24"/>
        </w:rPr>
      </w:pPr>
    </w:p>
    <w:p>
      <w:pPr>
        <w:pStyle w:val="48"/>
        <w:adjustRightInd/>
        <w:snapToGrid w:val="0"/>
        <w:spacing w:line="360" w:lineRule="auto"/>
        <w:ind w:firstLine="560" w:firstLineChars="200"/>
        <w:jc w:val="right"/>
        <w:rPr>
          <w:rFonts w:hint="eastAsia" w:ascii="仿宋" w:hAnsi="仿宋" w:eastAsia="仿宋" w:cs="宋体"/>
          <w:sz w:val="28"/>
          <w:szCs w:val="24"/>
        </w:rPr>
      </w:pPr>
      <w:r>
        <w:rPr>
          <w:rFonts w:hint="eastAsia" w:ascii="仿宋" w:hAnsi="仿宋" w:eastAsia="仿宋" w:cs="宋体"/>
          <w:sz w:val="28"/>
          <w:szCs w:val="24"/>
        </w:rPr>
        <w:t>竞价供应商（盖章）：</w:t>
      </w:r>
    </w:p>
    <w:p>
      <w:pPr>
        <w:pStyle w:val="48"/>
        <w:adjustRightInd/>
        <w:snapToGrid w:val="0"/>
        <w:spacing w:line="360" w:lineRule="auto"/>
        <w:ind w:firstLine="560" w:firstLineChars="200"/>
        <w:jc w:val="right"/>
        <w:rPr>
          <w:rFonts w:hint="eastAsia" w:ascii="仿宋" w:hAnsi="仿宋" w:eastAsia="仿宋" w:cs="宋体"/>
          <w:sz w:val="28"/>
          <w:szCs w:val="24"/>
        </w:rPr>
      </w:pPr>
      <w:r>
        <w:rPr>
          <w:rFonts w:hint="eastAsia" w:ascii="仿宋" w:hAnsi="仿宋" w:eastAsia="仿宋" w:cs="宋体"/>
          <w:sz w:val="28"/>
          <w:szCs w:val="24"/>
        </w:rPr>
        <w:t>法定代表人（签字或盖章）：</w:t>
      </w:r>
    </w:p>
    <w:p>
      <w:pPr>
        <w:pStyle w:val="48"/>
        <w:adjustRightInd/>
        <w:snapToGrid w:val="0"/>
        <w:spacing w:line="360" w:lineRule="auto"/>
        <w:ind w:firstLine="560" w:firstLineChars="200"/>
        <w:jc w:val="right"/>
        <w:rPr>
          <w:rFonts w:hint="eastAsia" w:ascii="仿宋" w:hAnsi="仿宋" w:eastAsia="仿宋" w:cs="宋体"/>
          <w:sz w:val="28"/>
          <w:szCs w:val="24"/>
        </w:rPr>
      </w:pPr>
      <w:r>
        <w:rPr>
          <w:rFonts w:hint="eastAsia" w:ascii="仿宋" w:hAnsi="仿宋" w:eastAsia="仿宋" w:cs="宋体"/>
          <w:sz w:val="28"/>
          <w:szCs w:val="24"/>
        </w:rPr>
        <w:t>日期：</w:t>
      </w:r>
    </w:p>
    <w:p>
      <w:pPr>
        <w:adjustRightInd/>
        <w:snapToGrid w:val="0"/>
        <w:spacing w:line="360" w:lineRule="auto"/>
        <w:ind w:firstLine="480" w:firstLineChars="200"/>
        <w:rPr>
          <w:rFonts w:hint="eastAsia" w:ascii="仿宋" w:hAnsi="仿宋" w:eastAsia="仿宋" w:cs="宋体"/>
          <w:sz w:val="24"/>
        </w:rPr>
      </w:pPr>
    </w:p>
    <w:p>
      <w:pPr>
        <w:adjustRightInd/>
        <w:snapToGrid w:val="0"/>
        <w:spacing w:line="360" w:lineRule="auto"/>
        <w:ind w:firstLine="480" w:firstLineChars="200"/>
        <w:rPr>
          <w:rFonts w:hint="eastAsia" w:ascii="仿宋" w:hAnsi="仿宋" w:eastAsia="仿宋" w:cs="宋体"/>
          <w:sz w:val="24"/>
        </w:rPr>
      </w:pPr>
    </w:p>
    <w:p>
      <w:pPr>
        <w:adjustRightInd/>
        <w:snapToGrid w:val="0"/>
        <w:spacing w:line="360" w:lineRule="auto"/>
        <w:ind w:firstLine="482" w:firstLineChars="200"/>
        <w:rPr>
          <w:rFonts w:hint="eastAsia" w:ascii="仿宋" w:hAnsi="仿宋" w:eastAsia="仿宋" w:cs="宋体"/>
          <w:sz w:val="24"/>
        </w:rPr>
      </w:pPr>
      <w:r>
        <w:rPr>
          <w:rFonts w:hint="eastAsia" w:ascii="仿宋" w:hAnsi="仿宋" w:eastAsia="仿宋" w:cs="宋体"/>
          <w:b/>
          <w:bCs/>
          <w:sz w:val="24"/>
        </w:rPr>
        <w:t>注: 如为委托代理人参加</w:t>
      </w:r>
      <w:r>
        <w:rPr>
          <w:rFonts w:hint="eastAsia" w:ascii="仿宋" w:hAnsi="仿宋" w:cs="宋体"/>
          <w:b/>
          <w:bCs/>
          <w:sz w:val="24"/>
          <w:lang w:eastAsia="zh-CN"/>
        </w:rPr>
        <w:t>竞价</w:t>
      </w:r>
      <w:r>
        <w:rPr>
          <w:rFonts w:hint="eastAsia" w:ascii="仿宋" w:hAnsi="仿宋" w:eastAsia="仿宋" w:cs="宋体"/>
          <w:b/>
          <w:bCs/>
          <w:sz w:val="24"/>
        </w:rPr>
        <w:t>时，将身份证原件带至开标现场备查</w:t>
      </w:r>
      <w:r>
        <w:rPr>
          <w:rFonts w:hint="eastAsia" w:ascii="仿宋" w:hAnsi="仿宋" w:eastAsia="仿宋" w:cs="宋体"/>
          <w:sz w:val="24"/>
        </w:rPr>
        <w:t>。</w:t>
      </w:r>
    </w:p>
    <w:p>
      <w:pPr>
        <w:adjustRightInd/>
        <w:snapToGrid w:val="0"/>
        <w:spacing w:line="360" w:lineRule="auto"/>
        <w:ind w:firstLine="480" w:firstLineChars="200"/>
        <w:rPr>
          <w:rFonts w:hint="eastAsia" w:ascii="仿宋" w:hAnsi="仿宋" w:eastAsia="仿宋" w:cs="宋体"/>
          <w:sz w:val="24"/>
        </w:rPr>
      </w:pPr>
    </w:p>
    <w:p>
      <w:pPr>
        <w:snapToGrid w:val="0"/>
        <w:spacing w:line="320" w:lineRule="exact"/>
        <w:jc w:val="left"/>
        <w:rPr>
          <w:rFonts w:hint="eastAsia" w:ascii="仿宋" w:hAnsi="仿宋" w:eastAsia="仿宋" w:cs="宋体"/>
          <w:b/>
          <w:sz w:val="24"/>
        </w:rPr>
        <w:sectPr>
          <w:pgSz w:w="11906" w:h="16838"/>
          <w:pgMar w:top="1440" w:right="1800" w:bottom="1440" w:left="1800" w:header="851" w:footer="992" w:gutter="0"/>
          <w:cols w:space="720" w:num="1"/>
          <w:titlePg/>
          <w:docGrid w:type="lines" w:linePitch="312" w:charSpace="0"/>
        </w:sectPr>
      </w:pPr>
    </w:p>
    <w:p>
      <w:pPr>
        <w:adjustRightInd/>
        <w:snapToGrid w:val="0"/>
        <w:spacing w:line="360" w:lineRule="auto"/>
        <w:ind w:firstLine="482" w:firstLineChars="200"/>
        <w:rPr>
          <w:rFonts w:hint="eastAsia" w:ascii="仿宋" w:hAnsi="仿宋" w:eastAsia="仿宋" w:cs="宋体"/>
          <w:b/>
          <w:sz w:val="24"/>
        </w:rPr>
      </w:pPr>
      <w:r>
        <w:rPr>
          <w:rFonts w:hint="eastAsia" w:ascii="仿宋" w:hAnsi="仿宋" w:eastAsia="仿宋" w:cs="宋体"/>
          <w:b/>
          <w:sz w:val="24"/>
        </w:rPr>
        <w:t>附件3：</w:t>
      </w:r>
    </w:p>
    <w:p>
      <w:pPr>
        <w:spacing w:line="420" w:lineRule="exact"/>
        <w:jc w:val="center"/>
        <w:outlineLvl w:val="4"/>
        <w:rPr>
          <w:rFonts w:ascii="仿宋" w:hAnsi="仿宋" w:eastAsia="仿宋" w:cs="宋体"/>
          <w:b/>
          <w:bCs/>
          <w:szCs w:val="24"/>
        </w:rPr>
      </w:pPr>
      <w:r>
        <w:rPr>
          <w:rFonts w:hint="eastAsia" w:ascii="仿宋" w:hAnsi="仿宋" w:eastAsia="仿宋" w:cs="宋体"/>
          <w:b/>
          <w:bCs/>
          <w:szCs w:val="24"/>
        </w:rPr>
        <w:t>书面声明</w:t>
      </w:r>
    </w:p>
    <w:p>
      <w:pPr>
        <w:spacing w:line="360" w:lineRule="auto"/>
        <w:ind w:firstLine="480" w:firstLineChars="200"/>
        <w:rPr>
          <w:rFonts w:ascii="仿宋" w:hAnsi="仿宋" w:eastAsia="仿宋" w:cs="宋体"/>
          <w:sz w:val="24"/>
        </w:rPr>
      </w:pPr>
    </w:p>
    <w:p>
      <w:pPr>
        <w:kinsoku w:val="0"/>
        <w:topLinePunct/>
        <w:spacing w:line="500" w:lineRule="atLeast"/>
        <w:ind w:left="0" w:leftChars="0" w:right="210" w:firstLine="0" w:firstLineChars="0"/>
        <w:textAlignment w:val="baseline"/>
        <w:rPr>
          <w:rFonts w:hint="eastAsia" w:ascii="仿宋" w:hAnsi="仿宋" w:eastAsia="仿宋" w:cs="仿宋_GB2312"/>
          <w:szCs w:val="28"/>
        </w:rPr>
      </w:pPr>
      <w:r>
        <w:rPr>
          <w:rFonts w:hint="eastAsia" w:ascii="仿宋" w:hAnsi="仿宋" w:eastAsia="仿宋" w:cs="仿宋_GB2312"/>
          <w:szCs w:val="28"/>
        </w:rPr>
        <w:t>海安人大办：</w:t>
      </w:r>
    </w:p>
    <w:p>
      <w:pPr>
        <w:kinsoku w:val="0"/>
        <w:topLinePunct/>
        <w:spacing w:line="500" w:lineRule="atLeast"/>
        <w:ind w:right="210" w:firstLine="523" w:firstLineChars="187"/>
        <w:textAlignment w:val="baseline"/>
        <w:rPr>
          <w:rFonts w:ascii="仿宋" w:hAnsi="仿宋" w:eastAsia="仿宋" w:cs="宋体"/>
          <w:szCs w:val="28"/>
        </w:rPr>
      </w:pPr>
      <w:r>
        <w:rPr>
          <w:rFonts w:hint="eastAsia" w:ascii="仿宋" w:hAnsi="仿宋" w:eastAsia="仿宋" w:cs="宋体"/>
          <w:szCs w:val="28"/>
        </w:rPr>
        <w:t>我单位</w:t>
      </w:r>
      <w:r>
        <w:rPr>
          <w:rFonts w:hint="eastAsia" w:ascii="仿宋" w:hAnsi="仿宋" w:eastAsia="仿宋" w:cs="宋体"/>
          <w:szCs w:val="28"/>
          <w:u w:val="single"/>
        </w:rPr>
        <w:t xml:space="preserve">           （供应商名称）</w:t>
      </w:r>
      <w:r>
        <w:rPr>
          <w:rFonts w:hint="eastAsia" w:ascii="仿宋" w:hAnsi="仿宋" w:eastAsia="仿宋" w:cs="宋体"/>
          <w:szCs w:val="28"/>
        </w:rPr>
        <w:t>郑重承诺：</w:t>
      </w:r>
    </w:p>
    <w:p>
      <w:pPr>
        <w:kinsoku w:val="0"/>
        <w:topLinePunct/>
        <w:spacing w:line="500" w:lineRule="atLeast"/>
        <w:ind w:right="210" w:firstLine="523" w:firstLineChars="187"/>
        <w:textAlignment w:val="baseline"/>
        <w:rPr>
          <w:rFonts w:ascii="仿宋" w:hAnsi="仿宋" w:eastAsia="仿宋" w:cs="宋体"/>
          <w:szCs w:val="28"/>
        </w:rPr>
      </w:pPr>
      <w:r>
        <w:rPr>
          <w:rFonts w:hint="eastAsia" w:ascii="仿宋" w:hAnsi="仿宋" w:eastAsia="仿宋" w:cs="仿宋_GB2312"/>
          <w:szCs w:val="28"/>
        </w:rPr>
        <w:t>我单位具有独立承担民事责任的能力；参加政府采购活动前三年内，在经营活动中没有重大违法记录。</w:t>
      </w:r>
    </w:p>
    <w:p>
      <w:pPr>
        <w:kinsoku w:val="0"/>
        <w:topLinePunct/>
        <w:spacing w:line="500" w:lineRule="atLeast"/>
        <w:ind w:right="210" w:firstLine="523" w:firstLineChars="187"/>
        <w:textAlignment w:val="baseline"/>
        <w:rPr>
          <w:rFonts w:ascii="仿宋" w:hAnsi="仿宋" w:eastAsia="仿宋" w:cs="宋体"/>
          <w:sz w:val="28"/>
        </w:rPr>
      </w:pPr>
    </w:p>
    <w:p>
      <w:pPr>
        <w:kinsoku w:val="0"/>
        <w:topLinePunct/>
        <w:spacing w:line="500" w:lineRule="atLeast"/>
        <w:ind w:right="210" w:firstLine="523" w:firstLineChars="187"/>
        <w:textAlignment w:val="baseline"/>
        <w:rPr>
          <w:rFonts w:ascii="仿宋" w:hAnsi="仿宋" w:eastAsia="仿宋" w:cs="宋体"/>
          <w:sz w:val="28"/>
        </w:rPr>
      </w:pPr>
    </w:p>
    <w:p>
      <w:pPr>
        <w:kinsoku w:val="0"/>
        <w:topLinePunct/>
        <w:spacing w:line="500" w:lineRule="atLeast"/>
        <w:ind w:right="210" w:firstLine="523" w:firstLineChars="187"/>
        <w:textAlignment w:val="baseline"/>
        <w:rPr>
          <w:rFonts w:ascii="仿宋" w:hAnsi="仿宋" w:eastAsia="仿宋" w:cs="宋体"/>
          <w:sz w:val="28"/>
        </w:rPr>
      </w:pPr>
      <w:r>
        <w:rPr>
          <w:rFonts w:hint="eastAsia" w:ascii="仿宋" w:hAnsi="仿宋" w:eastAsia="仿宋" w:cs="宋体"/>
          <w:sz w:val="28"/>
        </w:rPr>
        <w:t xml:space="preserve">供应商（盖章）：（单位全称） </w:t>
      </w:r>
    </w:p>
    <w:p>
      <w:pPr>
        <w:kinsoku w:val="0"/>
        <w:topLinePunct/>
        <w:spacing w:line="500" w:lineRule="atLeast"/>
        <w:ind w:right="210" w:firstLine="523" w:firstLineChars="187"/>
        <w:textAlignment w:val="baseline"/>
        <w:rPr>
          <w:rFonts w:ascii="仿宋" w:hAnsi="仿宋" w:eastAsia="仿宋" w:cs="宋体"/>
          <w:sz w:val="28"/>
        </w:rPr>
      </w:pPr>
      <w:r>
        <w:rPr>
          <w:rFonts w:hint="eastAsia" w:ascii="仿宋" w:hAnsi="仿宋" w:eastAsia="仿宋" w:cs="宋体"/>
          <w:sz w:val="28"/>
        </w:rPr>
        <w:t>法定代表人或授权委托人：（签字或盖章）</w:t>
      </w:r>
    </w:p>
    <w:p>
      <w:pPr>
        <w:kinsoku w:val="0"/>
        <w:topLinePunct/>
        <w:spacing w:line="500" w:lineRule="atLeast"/>
        <w:ind w:right="210" w:firstLine="4863" w:firstLineChars="1737"/>
        <w:textAlignment w:val="baseline"/>
        <w:rPr>
          <w:rFonts w:ascii="仿宋" w:hAnsi="仿宋" w:eastAsia="仿宋" w:cs="宋体"/>
          <w:sz w:val="28"/>
        </w:rPr>
      </w:pPr>
      <w:r>
        <w:rPr>
          <w:rFonts w:hint="eastAsia" w:ascii="仿宋" w:hAnsi="仿宋" w:eastAsia="仿宋" w:cs="宋体"/>
          <w:sz w:val="28"/>
        </w:rPr>
        <w:t>日期：  年  月  日</w:t>
      </w:r>
    </w:p>
    <w:p>
      <w:pPr>
        <w:spacing w:line="360" w:lineRule="auto"/>
        <w:rPr>
          <w:rFonts w:ascii="仿宋" w:hAnsi="仿宋" w:eastAsia="仿宋" w:cs="宋体"/>
          <w:sz w:val="28"/>
          <w:szCs w:val="28"/>
          <w:lang w:val="zh-CN"/>
        </w:rPr>
      </w:pPr>
    </w:p>
    <w:p>
      <w:pPr>
        <w:adjustRightInd/>
        <w:snapToGrid w:val="0"/>
        <w:spacing w:line="360" w:lineRule="auto"/>
        <w:rPr>
          <w:rFonts w:hint="eastAsia" w:ascii="仿宋" w:hAnsi="仿宋" w:eastAsia="仿宋" w:cs="宋体"/>
          <w:b/>
          <w:sz w:val="24"/>
        </w:rPr>
      </w:pPr>
    </w:p>
    <w:p>
      <w:pPr>
        <w:adjustRightInd/>
        <w:snapToGrid w:val="0"/>
        <w:spacing w:line="360" w:lineRule="auto"/>
        <w:ind w:firstLine="482" w:firstLineChars="200"/>
        <w:rPr>
          <w:rFonts w:hint="eastAsia" w:ascii="仿宋" w:hAnsi="仿宋" w:eastAsia="仿宋" w:cs="宋体"/>
          <w:b/>
          <w:sz w:val="24"/>
        </w:rPr>
      </w:pPr>
    </w:p>
    <w:p>
      <w:pPr>
        <w:adjustRightInd/>
        <w:snapToGrid w:val="0"/>
        <w:spacing w:line="360" w:lineRule="auto"/>
        <w:rPr>
          <w:rFonts w:hint="eastAsia" w:ascii="仿宋" w:hAnsi="仿宋" w:eastAsia="仿宋" w:cs="宋体"/>
          <w:b/>
          <w:sz w:val="24"/>
        </w:rPr>
      </w:pPr>
    </w:p>
    <w:p>
      <w:pPr>
        <w:adjustRightInd/>
        <w:snapToGrid w:val="0"/>
        <w:spacing w:line="360" w:lineRule="auto"/>
        <w:rPr>
          <w:rFonts w:hint="eastAsia" w:ascii="仿宋" w:hAnsi="仿宋" w:eastAsia="仿宋" w:cs="宋体"/>
          <w:b/>
          <w:sz w:val="24"/>
        </w:rPr>
      </w:pPr>
    </w:p>
    <w:p>
      <w:pPr>
        <w:adjustRightInd/>
        <w:snapToGrid w:val="0"/>
        <w:spacing w:line="360" w:lineRule="auto"/>
        <w:rPr>
          <w:rFonts w:hint="eastAsia" w:ascii="仿宋" w:hAnsi="仿宋" w:eastAsia="仿宋" w:cs="宋体"/>
          <w:b/>
          <w:sz w:val="24"/>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adjustRightInd/>
        <w:snapToGrid w:val="0"/>
        <w:spacing w:line="360" w:lineRule="auto"/>
        <w:rPr>
          <w:rFonts w:hint="eastAsia" w:ascii="仿宋" w:hAnsi="仿宋" w:eastAsia="仿宋" w:cs="宋体"/>
          <w:b/>
          <w:sz w:val="24"/>
        </w:rPr>
      </w:pPr>
    </w:p>
    <w:p>
      <w:pPr>
        <w:adjustRightInd/>
        <w:snapToGrid w:val="0"/>
        <w:spacing w:line="360" w:lineRule="auto"/>
        <w:rPr>
          <w:rFonts w:hint="eastAsia" w:ascii="仿宋" w:hAnsi="仿宋" w:eastAsia="仿宋" w:cs="宋体"/>
          <w:b/>
          <w:sz w:val="24"/>
        </w:rPr>
      </w:pPr>
    </w:p>
    <w:p>
      <w:pPr>
        <w:adjustRightInd/>
        <w:snapToGrid w:val="0"/>
        <w:spacing w:line="360" w:lineRule="auto"/>
        <w:rPr>
          <w:rFonts w:hint="eastAsia" w:ascii="仿宋" w:hAnsi="仿宋" w:eastAsia="仿宋" w:cs="宋体"/>
          <w:b/>
          <w:sz w:val="24"/>
        </w:rPr>
      </w:pPr>
    </w:p>
    <w:p>
      <w:pPr>
        <w:adjustRightInd/>
        <w:snapToGrid w:val="0"/>
        <w:spacing w:line="360" w:lineRule="auto"/>
        <w:rPr>
          <w:rFonts w:hint="eastAsia" w:ascii="仿宋" w:hAnsi="仿宋" w:eastAsia="仿宋" w:cs="宋体"/>
          <w:b/>
          <w:sz w:val="24"/>
        </w:rPr>
      </w:pPr>
    </w:p>
    <w:p>
      <w:pPr>
        <w:adjustRightInd/>
        <w:snapToGrid w:val="0"/>
        <w:spacing w:line="360" w:lineRule="auto"/>
        <w:rPr>
          <w:rFonts w:hint="eastAsia" w:ascii="仿宋" w:hAnsi="仿宋" w:eastAsia="仿宋" w:cs="仿宋"/>
          <w:b/>
          <w:sz w:val="24"/>
        </w:rPr>
      </w:pPr>
      <w:r>
        <w:rPr>
          <w:rFonts w:hint="eastAsia" w:ascii="仿宋" w:hAnsi="仿宋" w:eastAsia="仿宋" w:cs="仿宋"/>
          <w:b/>
          <w:sz w:val="24"/>
        </w:rPr>
        <w:t>附件4：</w:t>
      </w:r>
    </w:p>
    <w:p>
      <w:pPr>
        <w:adjustRightInd/>
        <w:snapToGrid w:val="0"/>
        <w:spacing w:line="360" w:lineRule="auto"/>
        <w:ind w:firstLine="562" w:firstLineChars="200"/>
        <w:jc w:val="center"/>
        <w:rPr>
          <w:rFonts w:hint="eastAsia" w:ascii="仿宋" w:hAnsi="仿宋" w:eastAsia="仿宋" w:cs="宋体"/>
          <w:b/>
          <w:szCs w:val="28"/>
        </w:rPr>
      </w:pPr>
      <w:r>
        <w:rPr>
          <w:rFonts w:hint="eastAsia" w:ascii="仿宋" w:hAnsi="仿宋" w:eastAsia="仿宋" w:cs="宋体"/>
          <w:b/>
          <w:szCs w:val="28"/>
        </w:rPr>
        <w:t>竞价函</w:t>
      </w:r>
    </w:p>
    <w:p>
      <w:pPr>
        <w:adjustRightInd/>
        <w:snapToGrid w:val="0"/>
        <w:spacing w:line="360" w:lineRule="auto"/>
        <w:ind w:left="0" w:leftChars="0" w:firstLine="0" w:firstLineChars="0"/>
        <w:rPr>
          <w:rFonts w:hint="eastAsia" w:ascii="仿宋" w:hAnsi="仿宋" w:eastAsia="仿宋" w:cs="宋体"/>
          <w:sz w:val="28"/>
        </w:rPr>
      </w:pPr>
      <w:r>
        <w:rPr>
          <w:rFonts w:hint="eastAsia" w:ascii="仿宋" w:hAnsi="仿宋" w:eastAsia="仿宋" w:cs="宋体"/>
          <w:sz w:val="28"/>
        </w:rPr>
        <w:t>海安市人大办：</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依据贵单位</w:t>
      </w:r>
      <w:r>
        <w:rPr>
          <w:rFonts w:hint="eastAsia" w:ascii="仿宋" w:hAnsi="仿宋" w:eastAsia="仿宋" w:cs="宋体"/>
          <w:sz w:val="28"/>
          <w:u w:val="single"/>
        </w:rPr>
        <w:t xml:space="preserve">        </w:t>
      </w:r>
      <w:r>
        <w:rPr>
          <w:rFonts w:hint="eastAsia" w:ascii="仿宋" w:hAnsi="仿宋" w:cs="宋体"/>
          <w:sz w:val="28"/>
          <w:u w:val="single"/>
          <w:lang w:val="en-US" w:eastAsia="zh-CN"/>
        </w:rPr>
        <w:t xml:space="preserve">    </w:t>
      </w:r>
      <w:r>
        <w:rPr>
          <w:rFonts w:hint="eastAsia" w:ascii="仿宋" w:hAnsi="仿宋" w:eastAsia="仿宋" w:cs="宋体"/>
          <w:sz w:val="28"/>
          <w:u w:val="single"/>
        </w:rPr>
        <w:t xml:space="preserve"> </w:t>
      </w:r>
      <w:r>
        <w:rPr>
          <w:rFonts w:hint="eastAsia" w:ascii="仿宋" w:hAnsi="仿宋" w:eastAsia="仿宋" w:cs="宋体"/>
          <w:sz w:val="28"/>
        </w:rPr>
        <w:t>（</w:t>
      </w:r>
      <w:r>
        <w:rPr>
          <w:rFonts w:hint="eastAsia" w:ascii="仿宋" w:hAnsi="仿宋" w:cs="宋体"/>
          <w:sz w:val="28"/>
          <w:lang w:eastAsia="zh-CN"/>
        </w:rPr>
        <w:t>竞价项目</w:t>
      </w:r>
      <w:r>
        <w:rPr>
          <w:rFonts w:hint="eastAsia" w:ascii="仿宋" w:hAnsi="仿宋" w:eastAsia="仿宋" w:cs="宋体"/>
          <w:sz w:val="28"/>
        </w:rPr>
        <w:t>名称)项目竞价公告的邀请，我方授权</w:t>
      </w:r>
      <w:r>
        <w:rPr>
          <w:rFonts w:hint="eastAsia" w:ascii="仿宋" w:hAnsi="仿宋" w:eastAsia="仿宋" w:cs="宋体"/>
          <w:sz w:val="28"/>
          <w:u w:val="single"/>
        </w:rPr>
        <w:t xml:space="preserve">       </w:t>
      </w:r>
      <w:r>
        <w:rPr>
          <w:rFonts w:hint="eastAsia" w:ascii="仿宋" w:hAnsi="仿宋" w:eastAsia="仿宋" w:cs="宋体"/>
          <w:sz w:val="28"/>
        </w:rPr>
        <w:t>（姓名）</w:t>
      </w:r>
      <w:r>
        <w:rPr>
          <w:rFonts w:hint="eastAsia" w:ascii="仿宋" w:hAnsi="仿宋" w:eastAsia="仿宋" w:cs="宋体"/>
          <w:sz w:val="28"/>
          <w:u w:val="single"/>
        </w:rPr>
        <w:t xml:space="preserve">      </w:t>
      </w:r>
      <w:r>
        <w:rPr>
          <w:rFonts w:hint="eastAsia" w:ascii="仿宋" w:hAnsi="仿宋" w:eastAsia="仿宋" w:cs="宋体"/>
          <w:sz w:val="28"/>
        </w:rPr>
        <w:t>（职务）为全权代表参加该项目的竞价工作，全权处理本次竞价的有关事宜。同时，我公司声明如下：</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1、我方现愿意以人民币(大写)</w:t>
      </w:r>
      <w:r>
        <w:rPr>
          <w:rFonts w:hint="eastAsia" w:ascii="仿宋" w:hAnsi="仿宋" w:eastAsia="仿宋" w:cs="宋体"/>
          <w:sz w:val="28"/>
          <w:u w:val="single"/>
        </w:rPr>
        <w:t xml:space="preserve">         </w:t>
      </w:r>
      <w:r>
        <w:rPr>
          <w:rFonts w:hint="eastAsia" w:ascii="仿宋" w:hAnsi="仿宋" w:eastAsia="仿宋" w:cs="宋体"/>
          <w:sz w:val="28"/>
        </w:rPr>
        <w:t>元（RMB</w:t>
      </w:r>
      <w:r>
        <w:rPr>
          <w:rFonts w:hint="eastAsia" w:ascii="宋体" w:hAnsi="宋体" w:eastAsia="仿宋" w:cs="宋体"/>
          <w:sz w:val="28"/>
        </w:rPr>
        <w:t>¥</w:t>
      </w:r>
      <w:r>
        <w:rPr>
          <w:rFonts w:hint="eastAsia" w:ascii="仿宋" w:hAnsi="仿宋" w:eastAsia="仿宋" w:cs="宋体"/>
          <w:sz w:val="28"/>
          <w:u w:val="single"/>
        </w:rPr>
        <w:t xml:space="preserve">           </w:t>
      </w:r>
      <w:r>
        <w:rPr>
          <w:rFonts w:hint="eastAsia" w:ascii="仿宋" w:hAnsi="仿宋" w:eastAsia="仿宋" w:cs="宋体"/>
          <w:sz w:val="28"/>
        </w:rPr>
        <w:t>元）的竞价报价，并愿意按照竞价文件的一切要求，提供完成该项目的全部内容。</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2、我方已经详细审查了全部竞价文件，我方已完全清晰理解竞价文件的要求，不存在任何含糊不清和误解之处，同意放弃对这些文件所提出的异议和质疑的权利。</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3、我方愿意提供采购人在竞价文件中要求的所有资料。</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4、我方承诺在本次竞价响应中提供的一切文件，无论是原件还是复印件均真实有效，绝无任何虚假、伪造和夸大的成份。否则，愿承担相应的后果和法律责任。</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5、我方尊重竞价小组所作的评定结果，同时也清楚理解到竞价报价最低并非意味着必定获得中标资格。</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6、一旦我方成交，我方将根据竞价文件的规定，严格履行竞价文件中规定的每一项要求，按期、按质、按量履行合同的义务。</w:t>
      </w:r>
    </w:p>
    <w:p>
      <w:pPr>
        <w:adjustRightInd/>
        <w:snapToGrid w:val="0"/>
        <w:spacing w:line="360" w:lineRule="auto"/>
        <w:ind w:firstLine="560" w:firstLineChars="200"/>
        <w:rPr>
          <w:rFonts w:hint="eastAsia" w:ascii="仿宋" w:hAnsi="仿宋" w:eastAsia="仿宋" w:cs="宋体"/>
          <w:sz w:val="28"/>
        </w:rPr>
      </w:pPr>
      <w:r>
        <w:rPr>
          <w:rFonts w:hint="eastAsia" w:ascii="仿宋" w:hAnsi="仿宋" w:eastAsia="仿宋" w:cs="宋体"/>
          <w:sz w:val="28"/>
        </w:rPr>
        <w:t>7、当总价与单价不能对应时，按对应的价格低的作为竞价结果。</w:t>
      </w:r>
    </w:p>
    <w:p>
      <w:pPr>
        <w:snapToGrid w:val="0"/>
        <w:spacing w:line="440" w:lineRule="exact"/>
        <w:ind w:firstLine="2800" w:firstLineChars="1000"/>
        <w:jc w:val="right"/>
        <w:rPr>
          <w:rFonts w:hint="eastAsia" w:ascii="仿宋" w:hAnsi="仿宋" w:eastAsia="仿宋" w:cs="宋体"/>
          <w:sz w:val="28"/>
        </w:rPr>
      </w:pPr>
    </w:p>
    <w:p>
      <w:pPr>
        <w:pStyle w:val="48"/>
        <w:adjustRightInd/>
        <w:snapToGrid w:val="0"/>
        <w:spacing w:line="360" w:lineRule="auto"/>
        <w:ind w:right="560" w:firstLine="3920" w:firstLineChars="1400"/>
        <w:rPr>
          <w:rFonts w:hint="eastAsia" w:ascii="仿宋" w:hAnsi="仿宋" w:eastAsia="仿宋" w:cs="宋体"/>
          <w:sz w:val="28"/>
          <w:szCs w:val="24"/>
        </w:rPr>
      </w:pPr>
      <w:r>
        <w:rPr>
          <w:rFonts w:hint="eastAsia" w:ascii="仿宋" w:hAnsi="仿宋" w:eastAsia="仿宋" w:cs="宋体"/>
          <w:sz w:val="28"/>
          <w:szCs w:val="24"/>
        </w:rPr>
        <w:t>竞价供应商</w:t>
      </w:r>
      <w:r>
        <w:rPr>
          <w:rFonts w:hint="eastAsia" w:ascii="仿宋" w:hAnsi="仿宋" w:eastAsia="仿宋" w:cs="宋体"/>
          <w:sz w:val="28"/>
          <w:szCs w:val="24"/>
          <w:lang w:val="en-US" w:eastAsia="zh-CN"/>
        </w:rPr>
        <w:t>(</w:t>
      </w:r>
      <w:r>
        <w:rPr>
          <w:rFonts w:hint="eastAsia" w:ascii="仿宋" w:hAnsi="仿宋" w:eastAsia="仿宋" w:cs="宋体"/>
          <w:sz w:val="28"/>
          <w:szCs w:val="24"/>
        </w:rPr>
        <w:t>盖章</w:t>
      </w:r>
      <w:r>
        <w:rPr>
          <w:rFonts w:hint="eastAsia" w:ascii="仿宋" w:hAnsi="仿宋" w:eastAsia="仿宋" w:cs="宋体"/>
          <w:sz w:val="28"/>
          <w:szCs w:val="24"/>
          <w:lang w:val="en-US" w:eastAsia="zh-CN"/>
        </w:rPr>
        <w:t>)</w:t>
      </w:r>
      <w:r>
        <w:rPr>
          <w:rFonts w:hint="eastAsia" w:ascii="仿宋" w:hAnsi="仿宋" w:eastAsia="仿宋" w:cs="宋体"/>
          <w:sz w:val="28"/>
          <w:szCs w:val="24"/>
        </w:rPr>
        <w:t>：</w:t>
      </w:r>
    </w:p>
    <w:p>
      <w:pPr>
        <w:pStyle w:val="48"/>
        <w:adjustRightInd/>
        <w:snapToGrid w:val="0"/>
        <w:spacing w:line="360" w:lineRule="auto"/>
        <w:ind w:right="560" w:firstLine="2100" w:firstLineChars="750"/>
        <w:rPr>
          <w:rFonts w:hint="eastAsia" w:ascii="仿宋" w:hAnsi="仿宋" w:eastAsia="仿宋" w:cs="宋体"/>
          <w:sz w:val="28"/>
          <w:szCs w:val="24"/>
        </w:rPr>
      </w:pPr>
      <w:r>
        <w:rPr>
          <w:rFonts w:hint="eastAsia" w:ascii="仿宋" w:hAnsi="仿宋" w:eastAsia="仿宋" w:cs="宋体"/>
          <w:sz w:val="28"/>
          <w:szCs w:val="24"/>
        </w:rPr>
        <w:t>法人或授权委托人</w:t>
      </w:r>
      <w:r>
        <w:rPr>
          <w:rFonts w:hint="eastAsia" w:ascii="仿宋" w:hAnsi="仿宋" w:eastAsia="仿宋" w:cs="宋体"/>
          <w:sz w:val="28"/>
          <w:szCs w:val="24"/>
          <w:lang w:val="en-US" w:eastAsia="zh-CN"/>
        </w:rPr>
        <w:t>(</w:t>
      </w:r>
      <w:r>
        <w:rPr>
          <w:rFonts w:hint="eastAsia" w:ascii="仿宋" w:hAnsi="仿宋" w:eastAsia="仿宋" w:cs="宋体"/>
          <w:sz w:val="28"/>
          <w:szCs w:val="24"/>
        </w:rPr>
        <w:t>签字或盖章</w:t>
      </w:r>
      <w:r>
        <w:rPr>
          <w:rFonts w:hint="eastAsia" w:ascii="仿宋" w:hAnsi="仿宋" w:eastAsia="仿宋" w:cs="宋体"/>
          <w:sz w:val="28"/>
          <w:szCs w:val="24"/>
          <w:lang w:val="en-US" w:eastAsia="zh-CN"/>
        </w:rPr>
        <w:t>)</w:t>
      </w:r>
      <w:r>
        <w:rPr>
          <w:rFonts w:hint="eastAsia" w:ascii="仿宋" w:hAnsi="仿宋" w:eastAsia="仿宋" w:cs="宋体"/>
          <w:sz w:val="28"/>
          <w:szCs w:val="24"/>
        </w:rPr>
        <w:t>：</w:t>
      </w:r>
    </w:p>
    <w:p>
      <w:pPr>
        <w:pStyle w:val="48"/>
        <w:adjustRightInd/>
        <w:snapToGrid w:val="0"/>
        <w:spacing w:line="360" w:lineRule="auto"/>
        <w:ind w:right="560" w:firstLine="4760" w:firstLineChars="1700"/>
        <w:rPr>
          <w:rFonts w:hint="eastAsia" w:ascii="仿宋" w:hAnsi="仿宋" w:eastAsia="仿宋" w:cs="宋体"/>
        </w:rPr>
      </w:pPr>
      <w:r>
        <w:rPr>
          <w:rFonts w:hint="eastAsia" w:ascii="仿宋" w:hAnsi="仿宋" w:eastAsia="仿宋" w:cs="宋体"/>
          <w:sz w:val="28"/>
          <w:szCs w:val="24"/>
        </w:rPr>
        <w:t>日</w:t>
      </w:r>
      <w:r>
        <w:rPr>
          <w:rFonts w:hint="eastAsia" w:ascii="仿宋" w:hAnsi="仿宋" w:eastAsia="仿宋" w:cs="宋体"/>
          <w:sz w:val="28"/>
          <w:szCs w:val="24"/>
          <w:lang w:val="en-US" w:eastAsia="zh-CN"/>
        </w:rPr>
        <w:t xml:space="preserve">     </w:t>
      </w:r>
      <w:r>
        <w:rPr>
          <w:rFonts w:hint="eastAsia" w:ascii="仿宋" w:hAnsi="仿宋" w:eastAsia="仿宋" w:cs="宋体"/>
          <w:sz w:val="28"/>
          <w:szCs w:val="24"/>
        </w:rPr>
        <w:t>期：</w:t>
      </w:r>
    </w:p>
    <w:p>
      <w:pPr>
        <w:adjustRightInd/>
        <w:snapToGrid w:val="0"/>
        <w:spacing w:line="360" w:lineRule="auto"/>
        <w:ind w:firstLine="480" w:firstLineChars="200"/>
        <w:rPr>
          <w:rFonts w:hint="eastAsia" w:ascii="仿宋" w:hAnsi="仿宋" w:eastAsia="仿宋" w:cs="宋体"/>
          <w:sz w:val="24"/>
        </w:rPr>
        <w:sectPr>
          <w:pgSz w:w="11907" w:h="16839"/>
          <w:pgMar w:top="1558" w:right="1800" w:bottom="1402" w:left="1800" w:header="851" w:footer="992" w:gutter="0"/>
          <w:cols w:space="720" w:num="1"/>
          <w:docGrid w:type="lines" w:linePitch="312" w:charSpace="0"/>
        </w:sectPr>
      </w:pPr>
    </w:p>
    <w:p>
      <w:pPr>
        <w:snapToGrid w:val="0"/>
        <w:spacing w:line="420" w:lineRule="exact"/>
        <w:outlineLvl w:val="3"/>
        <w:rPr>
          <w:rFonts w:hint="eastAsia" w:ascii="仿宋" w:hAnsi="仿宋" w:eastAsia="仿宋" w:cs="宋体"/>
          <w:b/>
          <w:sz w:val="24"/>
        </w:rPr>
      </w:pPr>
      <w:r>
        <w:rPr>
          <w:rFonts w:hint="eastAsia" w:ascii="仿宋" w:hAnsi="仿宋" w:eastAsia="仿宋" w:cs="宋体"/>
          <w:b/>
          <w:sz w:val="24"/>
        </w:rPr>
        <w:t>附件5：</w:t>
      </w:r>
    </w:p>
    <w:p>
      <w:pPr>
        <w:snapToGrid w:val="0"/>
        <w:spacing w:line="420" w:lineRule="exact"/>
        <w:jc w:val="center"/>
        <w:outlineLvl w:val="3"/>
        <w:rPr>
          <w:rFonts w:hint="eastAsia" w:ascii="仿宋" w:hAnsi="仿宋" w:eastAsia="仿宋" w:cs="宋体"/>
          <w:b/>
          <w:sz w:val="36"/>
          <w:szCs w:val="36"/>
        </w:rPr>
      </w:pPr>
      <w:r>
        <w:rPr>
          <w:rFonts w:hint="eastAsia" w:ascii="仿宋" w:hAnsi="仿宋" w:eastAsia="仿宋" w:cs="宋体"/>
          <w:b/>
          <w:sz w:val="36"/>
          <w:szCs w:val="36"/>
        </w:rPr>
        <w:t>报价一览表</w:t>
      </w:r>
    </w:p>
    <w:p>
      <w:pPr>
        <w:adjustRightInd/>
        <w:snapToGrid w:val="0"/>
        <w:spacing w:line="360" w:lineRule="auto"/>
        <w:ind w:firstLine="482" w:firstLineChars="200"/>
        <w:rPr>
          <w:rFonts w:hint="eastAsia" w:ascii="仿宋" w:hAnsi="仿宋" w:eastAsia="仿宋" w:cs="宋体"/>
          <w:b/>
          <w:sz w:val="24"/>
        </w:rPr>
      </w:pPr>
    </w:p>
    <w:p>
      <w:pPr>
        <w:snapToGrid w:val="0"/>
        <w:spacing w:line="360" w:lineRule="auto"/>
        <w:outlineLvl w:val="2"/>
        <w:rPr>
          <w:rFonts w:hint="eastAsia" w:ascii="仿宋" w:hAnsi="仿宋" w:eastAsia="仿宋" w:cs="宋体"/>
          <w:b/>
          <w:sz w:val="24"/>
          <w:lang w:eastAsia="zh-CN"/>
        </w:rPr>
      </w:pPr>
      <w:r>
        <w:rPr>
          <w:rFonts w:hint="eastAsia" w:ascii="仿宋" w:hAnsi="仿宋" w:eastAsia="仿宋" w:cs="宋体"/>
          <w:b/>
          <w:sz w:val="24"/>
        </w:rPr>
        <w:t>项目名称：</w:t>
      </w:r>
      <w:r>
        <w:rPr>
          <w:rFonts w:hint="eastAsia" w:ascii="仿宋" w:hAnsi="仿宋" w:eastAsia="仿宋"/>
          <w:szCs w:val="32"/>
          <w:lang w:val="en-US" w:eastAsia="zh-CN"/>
        </w:rPr>
        <w:t>海安市推进法律法规全面有效实施管理系统</w:t>
      </w:r>
    </w:p>
    <w:tbl>
      <w:tblPr>
        <w:tblStyle w:val="23"/>
        <w:tblW w:w="93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790"/>
        <w:gridCol w:w="3643"/>
        <w:gridCol w:w="914"/>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805" w:type="dxa"/>
            <w:vAlign w:val="center"/>
          </w:tcPr>
          <w:p>
            <w:pPr>
              <w:widowControl/>
              <w:ind w:left="0" w:leftChars="0" w:firstLine="0" w:firstLineChars="0"/>
              <w:jc w:val="center"/>
              <w:rPr>
                <w:rFonts w:ascii="宋体" w:hAnsi="宋体"/>
                <w:b/>
                <w:kern w:val="0"/>
                <w:sz w:val="21"/>
                <w:szCs w:val="21"/>
              </w:rPr>
            </w:pPr>
            <w:r>
              <w:rPr>
                <w:rFonts w:hint="eastAsia" w:ascii="宋体" w:hAnsi="宋体"/>
                <w:b/>
                <w:kern w:val="0"/>
                <w:sz w:val="21"/>
                <w:szCs w:val="21"/>
              </w:rPr>
              <w:t>序号</w:t>
            </w:r>
          </w:p>
        </w:tc>
        <w:tc>
          <w:tcPr>
            <w:tcW w:w="5433" w:type="dxa"/>
            <w:gridSpan w:val="2"/>
            <w:vAlign w:val="center"/>
          </w:tcPr>
          <w:p>
            <w:pPr>
              <w:widowControl/>
              <w:ind w:left="0" w:leftChars="0" w:firstLine="0" w:firstLineChars="0"/>
              <w:jc w:val="center"/>
              <w:rPr>
                <w:rFonts w:ascii="宋体" w:hAnsi="宋体"/>
                <w:b/>
                <w:kern w:val="0"/>
                <w:sz w:val="21"/>
                <w:szCs w:val="21"/>
              </w:rPr>
            </w:pPr>
            <w:r>
              <w:rPr>
                <w:rFonts w:hint="eastAsia" w:ascii="宋体" w:hAnsi="宋体"/>
                <w:b/>
                <w:kern w:val="0"/>
                <w:sz w:val="21"/>
                <w:szCs w:val="21"/>
              </w:rPr>
              <w:t>子系统/设备</w:t>
            </w:r>
          </w:p>
        </w:tc>
        <w:tc>
          <w:tcPr>
            <w:tcW w:w="914" w:type="dxa"/>
            <w:vAlign w:val="center"/>
          </w:tcPr>
          <w:p>
            <w:pPr>
              <w:widowControl/>
              <w:ind w:left="0" w:leftChars="0" w:firstLine="0" w:firstLineChars="0"/>
              <w:jc w:val="center"/>
              <w:rPr>
                <w:rFonts w:ascii="宋体" w:hAnsi="宋体"/>
                <w:b/>
                <w:kern w:val="0"/>
                <w:sz w:val="21"/>
                <w:szCs w:val="21"/>
              </w:rPr>
            </w:pPr>
            <w:r>
              <w:rPr>
                <w:rFonts w:hint="eastAsia" w:ascii="宋体" w:hAnsi="宋体"/>
                <w:b/>
                <w:kern w:val="0"/>
                <w:sz w:val="21"/>
                <w:szCs w:val="21"/>
              </w:rPr>
              <w:t>数量</w:t>
            </w:r>
          </w:p>
        </w:tc>
        <w:tc>
          <w:tcPr>
            <w:tcW w:w="2244" w:type="dxa"/>
            <w:vAlign w:val="center"/>
          </w:tcPr>
          <w:p>
            <w:pPr>
              <w:widowControl/>
              <w:ind w:left="0" w:leftChars="0" w:firstLine="0" w:firstLineChars="0"/>
              <w:jc w:val="center"/>
              <w:rPr>
                <w:rFonts w:ascii="宋体" w:hAnsi="宋体"/>
                <w:b/>
                <w:kern w:val="0"/>
                <w:sz w:val="21"/>
                <w:szCs w:val="21"/>
              </w:rPr>
            </w:pPr>
            <w:r>
              <w:rPr>
                <w:rFonts w:hint="eastAsia" w:ascii="宋体" w:hAnsi="宋体"/>
                <w:b/>
                <w:kern w:val="0"/>
                <w:sz w:val="21"/>
                <w:szCs w:val="21"/>
              </w:rPr>
              <w:t>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805" w:type="dxa"/>
            <w:vAlign w:val="center"/>
          </w:tcPr>
          <w:p>
            <w:pPr>
              <w:ind w:left="0" w:leftChars="0" w:firstLine="0" w:firstLineChars="0"/>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1</w:t>
            </w:r>
          </w:p>
        </w:tc>
        <w:tc>
          <w:tcPr>
            <w:tcW w:w="1790" w:type="dxa"/>
            <w:vMerge w:val="restart"/>
            <w:vAlign w:val="center"/>
          </w:tcPr>
          <w:p>
            <w:pPr>
              <w:ind w:left="0" w:leftChars="0" w:firstLine="0" w:firstLineChars="0"/>
              <w:jc w:val="left"/>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法律法规库管理</w:t>
            </w:r>
          </w:p>
        </w:tc>
        <w:tc>
          <w:tcPr>
            <w:tcW w:w="3643" w:type="dxa"/>
            <w:vAlign w:val="center"/>
          </w:tcPr>
          <w:p>
            <w:pPr>
              <w:ind w:left="0" w:leftChars="0" w:firstLine="0" w:firstLineChars="0"/>
              <w:jc w:val="left"/>
              <w:rPr>
                <w:rFonts w:hint="eastAsia" w:ascii="宋体" w:hAnsi="宋体"/>
                <w:sz w:val="21"/>
                <w:szCs w:val="21"/>
                <w:highlight w:val="none"/>
                <w:lang w:val="en-US" w:eastAsia="zh-CN"/>
              </w:rPr>
            </w:pPr>
            <w:r>
              <w:rPr>
                <w:rFonts w:hint="eastAsia"/>
                <w:sz w:val="21"/>
                <w:szCs w:val="21"/>
                <w:lang w:val="en-US" w:eastAsia="zh-CN"/>
              </w:rPr>
              <w:t>法律法规数据采集</w:t>
            </w:r>
          </w:p>
        </w:tc>
        <w:tc>
          <w:tcPr>
            <w:tcW w:w="914" w:type="dxa"/>
            <w:vAlign w:val="center"/>
          </w:tcPr>
          <w:p>
            <w:pPr>
              <w:widowControl/>
              <w:ind w:left="0" w:leftChars="0" w:firstLine="0" w:firstLineChars="0"/>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w:t>
            </w:r>
          </w:p>
        </w:tc>
        <w:tc>
          <w:tcPr>
            <w:tcW w:w="2244" w:type="dxa"/>
            <w:vAlign w:val="center"/>
          </w:tcPr>
          <w:p>
            <w:pPr>
              <w:widowControl/>
              <w:jc w:val="center"/>
              <w:rPr>
                <w:rFonts w:hint="default" w:ascii="宋体" w:hAnsi="宋体" w:eastAsia="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805" w:type="dxa"/>
            <w:vAlign w:val="center"/>
          </w:tcPr>
          <w:p>
            <w:pPr>
              <w:ind w:left="0" w:leftChars="0" w:firstLine="0" w:firstLineChars="0"/>
              <w:jc w:val="center"/>
              <w:rPr>
                <w:rFonts w:hint="default"/>
                <w:sz w:val="21"/>
                <w:szCs w:val="21"/>
                <w:lang w:val="en-US" w:eastAsia="zh-CN"/>
              </w:rPr>
            </w:pPr>
            <w:r>
              <w:rPr>
                <w:rFonts w:hint="eastAsia"/>
                <w:sz w:val="21"/>
                <w:szCs w:val="21"/>
                <w:lang w:val="en-US" w:eastAsia="zh-CN"/>
              </w:rPr>
              <w:t>2</w:t>
            </w:r>
          </w:p>
        </w:tc>
        <w:tc>
          <w:tcPr>
            <w:tcW w:w="1790" w:type="dxa"/>
            <w:vMerge w:val="continue"/>
            <w:vAlign w:val="center"/>
          </w:tcPr>
          <w:p>
            <w:pPr>
              <w:jc w:val="left"/>
              <w:rPr>
                <w:sz w:val="21"/>
                <w:szCs w:val="21"/>
              </w:rPr>
            </w:pPr>
          </w:p>
        </w:tc>
        <w:tc>
          <w:tcPr>
            <w:tcW w:w="3643" w:type="dxa"/>
            <w:vAlign w:val="center"/>
          </w:tcPr>
          <w:p>
            <w:pPr>
              <w:ind w:left="0" w:leftChars="0" w:firstLine="0" w:firstLineChars="0"/>
              <w:jc w:val="left"/>
              <w:rPr>
                <w:rFonts w:hint="eastAsia" w:ascii="宋体" w:hAnsi="宋体" w:eastAsia="宋体" w:cs="Times New Roman"/>
                <w:kern w:val="2"/>
                <w:sz w:val="21"/>
                <w:szCs w:val="21"/>
                <w:highlight w:val="none"/>
                <w:lang w:val="en-US" w:eastAsia="zh-CN" w:bidi="ar-SA"/>
              </w:rPr>
            </w:pPr>
            <w:r>
              <w:rPr>
                <w:rFonts w:hint="eastAsia"/>
                <w:sz w:val="21"/>
                <w:szCs w:val="21"/>
                <w:lang w:val="en-US" w:eastAsia="zh-CN"/>
              </w:rPr>
              <w:t>法律法规数据处理入库</w:t>
            </w:r>
          </w:p>
        </w:tc>
        <w:tc>
          <w:tcPr>
            <w:tcW w:w="914" w:type="dxa"/>
            <w:vAlign w:val="center"/>
          </w:tcPr>
          <w:p>
            <w:pPr>
              <w:ind w:left="0" w:lef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1</w:t>
            </w:r>
          </w:p>
        </w:tc>
        <w:tc>
          <w:tcPr>
            <w:tcW w:w="2244" w:type="dxa"/>
            <w:vAlign w:val="center"/>
          </w:tcPr>
          <w:p>
            <w:pPr>
              <w:jc w:val="center"/>
              <w:rPr>
                <w:rFonts w:hint="eastAsia" w:ascii="宋体" w:hAnsi="宋体" w:eastAsia="宋体" w:cs="Times New Roman"/>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 w:hRule="atLeast"/>
          <w:jc w:val="center"/>
        </w:trPr>
        <w:tc>
          <w:tcPr>
            <w:tcW w:w="805" w:type="dxa"/>
            <w:vAlign w:val="center"/>
          </w:tcPr>
          <w:p>
            <w:pPr>
              <w:ind w:left="0" w:leftChars="0" w:firstLine="0" w:firstLineChars="0"/>
              <w:jc w:val="center"/>
              <w:rPr>
                <w:rFonts w:hint="eastAsia" w:eastAsia="宋体"/>
                <w:sz w:val="21"/>
                <w:szCs w:val="21"/>
                <w:lang w:val="en-US" w:eastAsia="zh-CN"/>
              </w:rPr>
            </w:pPr>
            <w:r>
              <w:rPr>
                <w:rFonts w:hint="eastAsia"/>
                <w:sz w:val="21"/>
                <w:szCs w:val="21"/>
                <w:lang w:val="en-US" w:eastAsia="zh-CN"/>
              </w:rPr>
              <w:t>3</w:t>
            </w:r>
          </w:p>
        </w:tc>
        <w:tc>
          <w:tcPr>
            <w:tcW w:w="1790" w:type="dxa"/>
            <w:vMerge w:val="continue"/>
            <w:vAlign w:val="center"/>
          </w:tcPr>
          <w:p>
            <w:pPr>
              <w:jc w:val="left"/>
              <w:rPr>
                <w:sz w:val="21"/>
                <w:szCs w:val="21"/>
              </w:rPr>
            </w:pPr>
          </w:p>
        </w:tc>
        <w:tc>
          <w:tcPr>
            <w:tcW w:w="3643" w:type="dxa"/>
            <w:vAlign w:val="center"/>
          </w:tcPr>
          <w:p>
            <w:pPr>
              <w:ind w:left="0" w:leftChars="0" w:firstLine="0" w:firstLineChars="0"/>
              <w:jc w:val="left"/>
              <w:rPr>
                <w:rFonts w:hint="eastAsia" w:ascii="宋体" w:hAnsi="宋体"/>
                <w:color w:val="auto"/>
                <w:sz w:val="21"/>
                <w:szCs w:val="21"/>
                <w:highlight w:val="none"/>
                <w:lang w:val="en-US" w:eastAsia="zh-CN"/>
              </w:rPr>
            </w:pPr>
            <w:r>
              <w:rPr>
                <w:rFonts w:hint="eastAsia"/>
                <w:color w:val="auto"/>
                <w:sz w:val="21"/>
                <w:szCs w:val="21"/>
                <w:lang w:val="en-US" w:eastAsia="zh-CN"/>
              </w:rPr>
              <w:t>法律法规数据增补</w:t>
            </w:r>
          </w:p>
        </w:tc>
        <w:tc>
          <w:tcPr>
            <w:tcW w:w="914" w:type="dxa"/>
            <w:vAlign w:val="center"/>
          </w:tcPr>
          <w:p>
            <w:pPr>
              <w:ind w:left="0" w:leftChars="0" w:firstLine="0" w:firstLineChars="0"/>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w:t>
            </w:r>
          </w:p>
        </w:tc>
        <w:tc>
          <w:tcPr>
            <w:tcW w:w="2244" w:type="dxa"/>
            <w:vAlign w:val="center"/>
          </w:tcPr>
          <w:p>
            <w:pPr>
              <w:jc w:val="center"/>
              <w:rPr>
                <w:rFonts w:hint="default" w:ascii="宋体" w:hAnsi="宋体"/>
                <w:color w:val="auto"/>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4</w:t>
            </w:r>
          </w:p>
        </w:tc>
        <w:tc>
          <w:tcPr>
            <w:tcW w:w="1790" w:type="dxa"/>
            <w:vMerge w:val="restart"/>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推进全面有效实施主体管理</w:t>
            </w:r>
          </w:p>
        </w:tc>
        <w:tc>
          <w:tcPr>
            <w:tcW w:w="3643" w:type="dxa"/>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实施主体确认</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5</w:t>
            </w:r>
          </w:p>
        </w:tc>
        <w:tc>
          <w:tcPr>
            <w:tcW w:w="1790" w:type="dxa"/>
            <w:vMerge w:val="continue"/>
            <w:vAlign w:val="center"/>
          </w:tcPr>
          <w:p>
            <w:pPr>
              <w:jc w:val="left"/>
              <w:rPr>
                <w:rFonts w:hint="eastAsia" w:ascii="宋体" w:hAnsi="宋体"/>
                <w:sz w:val="21"/>
                <w:szCs w:val="21"/>
                <w:highlight w:val="none"/>
                <w:lang w:val="en-US" w:eastAsia="zh-CN"/>
              </w:rPr>
            </w:pPr>
          </w:p>
        </w:tc>
        <w:tc>
          <w:tcPr>
            <w:tcW w:w="3643" w:type="dxa"/>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实施主体申请</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6</w:t>
            </w:r>
          </w:p>
        </w:tc>
        <w:tc>
          <w:tcPr>
            <w:tcW w:w="1790" w:type="dxa"/>
            <w:vMerge w:val="continue"/>
            <w:vAlign w:val="center"/>
          </w:tcPr>
          <w:p>
            <w:pPr>
              <w:jc w:val="left"/>
              <w:rPr>
                <w:rFonts w:hint="eastAsia" w:ascii="宋体" w:hAnsi="宋体"/>
                <w:sz w:val="21"/>
                <w:szCs w:val="21"/>
                <w:highlight w:val="none"/>
                <w:lang w:val="en-US" w:eastAsia="zh-CN"/>
              </w:rPr>
            </w:pPr>
          </w:p>
        </w:tc>
        <w:tc>
          <w:tcPr>
            <w:tcW w:w="3643" w:type="dxa"/>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实施主体审核</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7</w:t>
            </w:r>
          </w:p>
        </w:tc>
        <w:tc>
          <w:tcPr>
            <w:tcW w:w="1790" w:type="dxa"/>
            <w:vMerge w:val="continue"/>
            <w:vAlign w:val="center"/>
          </w:tcPr>
          <w:p>
            <w:pPr>
              <w:jc w:val="left"/>
              <w:rPr>
                <w:rFonts w:hint="eastAsia" w:ascii="宋体" w:hAnsi="宋体"/>
                <w:sz w:val="21"/>
                <w:szCs w:val="21"/>
                <w:highlight w:val="none"/>
                <w:lang w:val="en-US" w:eastAsia="zh-CN"/>
              </w:rPr>
            </w:pPr>
          </w:p>
        </w:tc>
        <w:tc>
          <w:tcPr>
            <w:tcW w:w="3643" w:type="dxa"/>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数据统计</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8</w:t>
            </w:r>
          </w:p>
        </w:tc>
        <w:tc>
          <w:tcPr>
            <w:tcW w:w="1790" w:type="dxa"/>
            <w:vMerge w:val="restart"/>
            <w:vAlign w:val="center"/>
          </w:tcPr>
          <w:p>
            <w:pPr>
              <w:ind w:left="0" w:leftChars="0" w:firstLine="0" w:firstLineChars="0"/>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推进清单管理</w:t>
            </w:r>
          </w:p>
        </w:tc>
        <w:tc>
          <w:tcPr>
            <w:tcW w:w="3643" w:type="dxa"/>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法律清单</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9</w:t>
            </w:r>
          </w:p>
        </w:tc>
        <w:tc>
          <w:tcPr>
            <w:tcW w:w="1790" w:type="dxa"/>
            <w:vMerge w:val="continue"/>
            <w:vAlign w:val="center"/>
          </w:tcPr>
          <w:p>
            <w:pPr>
              <w:jc w:val="center"/>
              <w:rPr>
                <w:rFonts w:hint="eastAsia" w:ascii="宋体" w:hAnsi="宋体"/>
                <w:sz w:val="21"/>
                <w:szCs w:val="21"/>
                <w:highlight w:val="none"/>
                <w:lang w:val="en-US" w:eastAsia="zh-CN"/>
              </w:rPr>
            </w:pPr>
          </w:p>
        </w:tc>
        <w:tc>
          <w:tcPr>
            <w:tcW w:w="3643" w:type="dxa"/>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职责清单</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10</w:t>
            </w:r>
          </w:p>
        </w:tc>
        <w:tc>
          <w:tcPr>
            <w:tcW w:w="1790" w:type="dxa"/>
            <w:vMerge w:val="continue"/>
            <w:vAlign w:val="center"/>
          </w:tcPr>
          <w:p>
            <w:pPr>
              <w:jc w:val="center"/>
              <w:rPr>
                <w:rFonts w:hint="eastAsia" w:ascii="宋体" w:hAnsi="宋体"/>
                <w:sz w:val="21"/>
                <w:szCs w:val="21"/>
                <w:highlight w:val="none"/>
                <w:lang w:val="en-US" w:eastAsia="zh-CN"/>
              </w:rPr>
            </w:pPr>
          </w:p>
        </w:tc>
        <w:tc>
          <w:tcPr>
            <w:tcW w:w="3643" w:type="dxa"/>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措施清单</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11</w:t>
            </w:r>
          </w:p>
        </w:tc>
        <w:tc>
          <w:tcPr>
            <w:tcW w:w="5433" w:type="dxa"/>
            <w:gridSpan w:val="2"/>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快捷检索</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12</w:t>
            </w:r>
          </w:p>
        </w:tc>
        <w:tc>
          <w:tcPr>
            <w:tcW w:w="5433" w:type="dxa"/>
            <w:gridSpan w:val="2"/>
            <w:vAlign w:val="center"/>
          </w:tcPr>
          <w:p>
            <w:pPr>
              <w:ind w:left="0" w:leftChars="0" w:firstLine="0" w:firstLineChars="0"/>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移动端-法律法规快捷检索</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13</w:t>
            </w:r>
          </w:p>
        </w:tc>
        <w:tc>
          <w:tcPr>
            <w:tcW w:w="1790" w:type="dxa"/>
            <w:vMerge w:val="restart"/>
            <w:vAlign w:val="center"/>
          </w:tcPr>
          <w:p>
            <w:pPr>
              <w:ind w:left="0" w:leftChars="0" w:firstLine="0" w:firstLineChars="0"/>
              <w:jc w:val="left"/>
              <w:rPr>
                <w:rFonts w:hint="default" w:ascii="宋体" w:hAnsi="宋体"/>
                <w:sz w:val="21"/>
                <w:szCs w:val="21"/>
                <w:highlight w:val="none"/>
                <w:lang w:val="en-US" w:eastAsia="zh-CN"/>
              </w:rPr>
            </w:pPr>
            <w:r>
              <w:rPr>
                <w:rFonts w:hint="eastAsia" w:ascii="宋体" w:hAnsi="宋体"/>
                <w:sz w:val="21"/>
                <w:szCs w:val="21"/>
                <w:highlight w:val="none"/>
                <w:lang w:val="en-US" w:eastAsia="zh-CN"/>
              </w:rPr>
              <w:t>整合对接</w:t>
            </w:r>
          </w:p>
        </w:tc>
        <w:tc>
          <w:tcPr>
            <w:tcW w:w="3643" w:type="dxa"/>
            <w:vAlign w:val="center"/>
          </w:tcPr>
          <w:p>
            <w:pPr>
              <w:ind w:left="0" w:leftChars="0" w:firstLine="0" w:firstLineChars="0"/>
              <w:jc w:val="left"/>
              <w:rPr>
                <w:rFonts w:hint="eastAsia" w:ascii="宋体" w:hAnsi="宋体"/>
                <w:sz w:val="21"/>
                <w:szCs w:val="21"/>
                <w:highlight w:val="none"/>
                <w:lang w:val="en-US" w:eastAsia="zh-CN"/>
              </w:rPr>
            </w:pPr>
            <w:r>
              <w:rPr>
                <w:rFonts w:hint="eastAsia" w:ascii="宋体" w:hAnsi="宋体"/>
                <w:sz w:val="21"/>
                <w:szCs w:val="21"/>
                <w:highlight w:val="none"/>
                <w:lang w:val="en-US" w:eastAsia="zh-CN"/>
              </w:rPr>
              <w:t>与海安市电子政务应用平台协同办公系统关联整合</w:t>
            </w:r>
          </w:p>
        </w:tc>
        <w:tc>
          <w:tcPr>
            <w:tcW w:w="914" w:type="dxa"/>
            <w:vAlign w:val="center"/>
          </w:tcPr>
          <w:p>
            <w:pPr>
              <w:widowControl/>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w:t>
            </w:r>
          </w:p>
        </w:tc>
        <w:tc>
          <w:tcPr>
            <w:tcW w:w="2244" w:type="dxa"/>
            <w:vAlign w:val="center"/>
          </w:tcPr>
          <w:p>
            <w:pPr>
              <w:widowControl/>
              <w:jc w:val="center"/>
              <w:rPr>
                <w:rFonts w:hint="default" w:ascii="宋体" w:hAnsi="宋体"/>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805" w:type="dxa"/>
            <w:vAlign w:val="center"/>
          </w:tcPr>
          <w:p>
            <w:pPr>
              <w:ind w:left="0" w:leftChars="0" w:firstLine="0" w:firstLineChars="0"/>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14</w:t>
            </w:r>
          </w:p>
        </w:tc>
        <w:tc>
          <w:tcPr>
            <w:tcW w:w="1790" w:type="dxa"/>
            <w:vMerge w:val="continue"/>
            <w:vAlign w:val="center"/>
          </w:tcPr>
          <w:p>
            <w:pPr>
              <w:jc w:val="left"/>
            </w:pPr>
          </w:p>
        </w:tc>
        <w:tc>
          <w:tcPr>
            <w:tcW w:w="3643" w:type="dxa"/>
            <w:vAlign w:val="center"/>
          </w:tcPr>
          <w:p>
            <w:pPr>
              <w:ind w:left="0" w:leftChars="0" w:firstLine="0" w:firstLineChars="0"/>
              <w:jc w:val="lef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与省人大平台整合对接</w:t>
            </w:r>
          </w:p>
        </w:tc>
        <w:tc>
          <w:tcPr>
            <w:tcW w:w="914" w:type="dxa"/>
            <w:vAlign w:val="center"/>
          </w:tcPr>
          <w:p>
            <w:pPr>
              <w:ind w:left="0" w:lef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1</w:t>
            </w:r>
          </w:p>
        </w:tc>
        <w:tc>
          <w:tcPr>
            <w:tcW w:w="2244" w:type="dxa"/>
            <w:vAlign w:val="center"/>
          </w:tcPr>
          <w:p>
            <w:pPr>
              <w:jc w:val="center"/>
              <w:rPr>
                <w:rFonts w:hint="eastAsia" w:ascii="宋体" w:hAnsi="宋体" w:eastAsia="宋体" w:cs="Times New Roman"/>
                <w:kern w:val="2"/>
                <w:sz w:val="21"/>
                <w:szCs w:val="21"/>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7152" w:type="dxa"/>
            <w:gridSpan w:val="4"/>
            <w:vAlign w:val="center"/>
          </w:tcPr>
          <w:p>
            <w:pPr>
              <w:widowControl/>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合计（万元）(含三年运维费）</w:t>
            </w:r>
          </w:p>
        </w:tc>
        <w:tc>
          <w:tcPr>
            <w:tcW w:w="2244" w:type="dxa"/>
            <w:vAlign w:val="center"/>
          </w:tcPr>
          <w:p>
            <w:pPr>
              <w:widowControl/>
              <w:jc w:val="center"/>
              <w:rPr>
                <w:rFonts w:hint="eastAsia" w:ascii="宋体" w:hAnsi="宋体" w:eastAsia="宋体"/>
                <w:sz w:val="21"/>
                <w:szCs w:val="21"/>
                <w:highlight w:val="none"/>
                <w:lang w:val="en-US" w:eastAsia="zh-Hans"/>
              </w:rPr>
            </w:pPr>
          </w:p>
        </w:tc>
      </w:tr>
    </w:tbl>
    <w:p>
      <w:pPr>
        <w:kinsoku w:val="0"/>
        <w:topLinePunct/>
        <w:snapToGrid w:val="0"/>
        <w:spacing w:line="360" w:lineRule="auto"/>
        <w:ind w:left="0" w:leftChars="0" w:firstLine="0" w:firstLineChars="0"/>
        <w:rPr>
          <w:rFonts w:hint="eastAsia" w:ascii="仿宋" w:hAnsi="仿宋" w:eastAsia="仿宋" w:cs="宋体"/>
          <w:sz w:val="28"/>
        </w:rPr>
      </w:pPr>
    </w:p>
    <w:p>
      <w:pPr>
        <w:kinsoku w:val="0"/>
        <w:topLinePunct/>
        <w:snapToGrid w:val="0"/>
        <w:spacing w:line="360" w:lineRule="auto"/>
        <w:ind w:left="0" w:leftChars="0" w:firstLine="0" w:firstLineChars="0"/>
        <w:rPr>
          <w:rFonts w:hint="eastAsia" w:ascii="仿宋" w:hAnsi="仿宋" w:eastAsia="仿宋" w:cs="宋体"/>
          <w:b/>
          <w:sz w:val="28"/>
        </w:rPr>
      </w:pPr>
      <w:r>
        <w:rPr>
          <w:rFonts w:hint="eastAsia" w:ascii="仿宋" w:hAnsi="仿宋" w:eastAsia="仿宋" w:cs="宋体"/>
          <w:sz w:val="28"/>
        </w:rPr>
        <w:t>供应商：（盖章）      法定代表人或被授权人（签字）：</w:t>
      </w:r>
      <w:r>
        <w:rPr>
          <w:rFonts w:hint="eastAsia" w:ascii="仿宋" w:hAnsi="仿宋" w:cs="宋体"/>
          <w:sz w:val="28"/>
          <w:lang w:val="en-US" w:eastAsia="zh-CN"/>
        </w:rPr>
        <w:t xml:space="preserve">   </w:t>
      </w:r>
      <w:r>
        <w:rPr>
          <w:rFonts w:hint="eastAsia" w:ascii="仿宋" w:hAnsi="仿宋" w:eastAsia="仿宋" w:cs="宋体"/>
          <w:sz w:val="28"/>
        </w:rPr>
        <w:t>日期：</w:t>
      </w:r>
    </w:p>
    <w:p>
      <w:pPr>
        <w:snapToGrid w:val="0"/>
        <w:spacing w:line="360" w:lineRule="auto"/>
        <w:ind w:firstLine="579" w:firstLineChars="206"/>
        <w:rPr>
          <w:rFonts w:hint="eastAsia" w:ascii="仿宋" w:hAnsi="仿宋" w:eastAsia="仿宋" w:cs="宋体"/>
          <w:sz w:val="28"/>
        </w:rPr>
      </w:pPr>
      <w:r>
        <w:rPr>
          <w:rFonts w:hint="eastAsia" w:ascii="仿宋" w:hAnsi="仿宋" w:eastAsia="仿宋" w:cs="宋体"/>
          <w:b/>
          <w:sz w:val="28"/>
        </w:rPr>
        <w:t>注：</w:t>
      </w:r>
      <w:r>
        <w:rPr>
          <w:rFonts w:hint="eastAsia" w:ascii="仿宋" w:hAnsi="仿宋" w:eastAsia="仿宋" w:cs="宋体"/>
          <w:sz w:val="28"/>
        </w:rPr>
        <w:t>（1）本表为格式表，不得自行改动，必须提供。</w:t>
      </w:r>
      <w:r>
        <w:rPr>
          <w:rFonts w:hint="eastAsia" w:ascii="仿宋" w:hAnsi="仿宋" w:cs="宋体"/>
          <w:sz w:val="28"/>
          <w:lang w:eastAsia="zh-CN"/>
        </w:rPr>
        <w:t>总价不得超过</w:t>
      </w:r>
      <w:r>
        <w:rPr>
          <w:rFonts w:hint="eastAsia" w:ascii="仿宋" w:hAnsi="仿宋" w:cs="宋体"/>
          <w:sz w:val="28"/>
          <w:lang w:val="en-US" w:eastAsia="zh-CN"/>
        </w:rPr>
        <w:t>16.5万元</w:t>
      </w:r>
      <w:r>
        <w:rPr>
          <w:rFonts w:hint="eastAsia" w:ascii="仿宋" w:hAnsi="仿宋" w:eastAsia="仿宋" w:cs="宋体"/>
          <w:sz w:val="28"/>
        </w:rPr>
        <w:t>。</w:t>
      </w:r>
    </w:p>
    <w:p>
      <w:pPr>
        <w:snapToGrid w:val="0"/>
        <w:spacing w:line="360" w:lineRule="auto"/>
        <w:ind w:firstLine="576" w:firstLineChars="206"/>
        <w:rPr>
          <w:rFonts w:hint="eastAsia" w:ascii="仿宋" w:hAnsi="仿宋" w:eastAsia="仿宋" w:cs="宋体"/>
          <w:sz w:val="28"/>
        </w:rPr>
      </w:pPr>
      <w:r>
        <w:rPr>
          <w:rFonts w:hint="eastAsia" w:ascii="仿宋" w:hAnsi="仿宋" w:eastAsia="仿宋" w:cs="宋体"/>
          <w:sz w:val="28"/>
        </w:rPr>
        <w:t>（2）</w:t>
      </w:r>
      <w:r>
        <w:rPr>
          <w:rFonts w:hint="eastAsia" w:ascii="仿宋" w:hAnsi="仿宋" w:cs="宋体"/>
          <w:sz w:val="28"/>
          <w:lang w:eastAsia="zh-CN"/>
        </w:rPr>
        <w:t>竞价</w:t>
      </w:r>
      <w:r>
        <w:rPr>
          <w:rFonts w:hint="eastAsia" w:ascii="仿宋" w:hAnsi="仿宋" w:eastAsia="仿宋" w:cs="宋体"/>
          <w:sz w:val="28"/>
        </w:rPr>
        <w:t>响应报价包括：</w:t>
      </w:r>
      <w:r>
        <w:rPr>
          <w:rFonts w:ascii="仿宋" w:hAnsi="仿宋" w:eastAsia="仿宋" w:cs="宋体"/>
          <w:sz w:val="28"/>
        </w:rPr>
        <w:t>设备及其备品、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报价人企业利润、税金和政策性文件规定及合同包含的所有风险、责任等各项应有费用</w:t>
      </w:r>
      <w:r>
        <w:rPr>
          <w:rFonts w:hint="eastAsia" w:ascii="仿宋" w:hAnsi="仿宋" w:eastAsia="仿宋" w:cs="宋体"/>
          <w:sz w:val="28"/>
        </w:rPr>
        <w:t>。</w:t>
      </w:r>
    </w:p>
    <w:p>
      <w:pPr>
        <w:pStyle w:val="2"/>
      </w:pPr>
    </w:p>
    <w:p>
      <w:pPr>
        <w:wordWrap w:val="0"/>
        <w:overflowPunct/>
        <w:spacing w:line="460" w:lineRule="exact"/>
        <w:ind w:left="0" w:leftChars="0" w:firstLine="0" w:firstLineChars="0"/>
        <w:jc w:val="both"/>
        <w:rPr>
          <w:rFonts w:hint="default" w:ascii="仿宋" w:hAnsi="仿宋" w:eastAsia="仿宋" w:cs="宋体"/>
          <w:sz w:val="28"/>
          <w:szCs w:val="28"/>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7"/>
                      <w:rPr>
                        <w:rFonts w:hint="eastAsia" w:eastAsia="华文楷体"/>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94045" cy="4108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94045" cy="410845"/>
                      </a:xfrm>
                      <a:prstGeom prst="rect">
                        <a:avLst/>
                      </a:prstGeom>
                      <a:noFill/>
                      <a:ln w="15875">
                        <a:noFill/>
                      </a:ln>
                      <a:effectLst/>
                    </wps:spPr>
                    <wps:txbx>
                      <w:txbxContent>
                        <w:p>
                          <w:pPr>
                            <w:pStyle w:val="17"/>
                            <w:jc w:val="right"/>
                            <w:rPr>
                              <w:rFonts w:hint="eastAsia"/>
                            </w:rPr>
                          </w:pPr>
                        </w:p>
                      </w:txbxContent>
                    </wps:txbx>
                    <wps:bodyPr lIns="0" tIns="0" rIns="0" bIns="0" upright="0">
                      <a:spAutoFit/>
                    </wps:bodyPr>
                  </wps:wsp>
                </a:graphicData>
              </a:graphic>
            </wp:anchor>
          </w:drawing>
        </mc:Choice>
        <mc:Fallback>
          <w:pict>
            <v:shape id="_x0000_s1026" o:spid="_x0000_s1026" o:spt="202" type="#_x0000_t202" style="position:absolute;left:0pt;margin-top:0pt;height:32.35pt;width:448.35pt;mso-position-horizontal:center;mso-position-horizontal-relative:margin;z-index:251659264;mso-width-relative:page;mso-height-relative:page;" filled="f" stroked="f" coordsize="21600,21600" o:gfxdata="UEsDBAoAAAAAAIdO4kAAAAAAAAAAAAAAAAAEAAAAZHJzL1BLAwQUAAAACACHTuJAmeGQRNYAAAAE&#10;AQAADwAAAGRycy9kb3ducmV2LnhtbE2PQWvCQBCF74X+h2UKvRTdWEq0aTaCijc9qKXgbcxOk9Dd&#10;2ZDdxPjvu+2lvQw83uO9b/LlaI0YqPONYwWzaQKCuHS64UrB+2k7WYDwAVmjcUwKbuRhWdzf5Zhp&#10;d+UDDcdQiVjCPkMFdQhtJqUva7Lop64ljt6n6yyGKLtK6g6vsdwa+ZwkqbTYcFyosaV1TeXXsbcK&#10;zP7wITdPqzO2J9PvRh722/Wg1OPDLHkDEWgMf2H4wY/oUESmi+tZe2EUxEfC743e4jWdg7goSF/m&#10;IItc/ocvvgFQSwMEFAAAAAgAh07iQD7UtabUAQAApAMAAA4AAABkcnMvZTJvRG9jLnhtbK1TTY7T&#10;MBTeI3EHy3uadKYdStR0BKoGISFAGjiA69iNJf/Jz23SC8ANWLFhz7l6jnl2kg4aNrNg47w/f37f&#10;917Wt73R5CgCKGdrOp+VlAjLXaPsvqbfvt69WlECkdmGaWdFTU8C6O3m5Yt15ytx5VqnGxEIglio&#10;Ol/TNkZfFQXwVhgGM+eFxaR0wbCIbtgXTWAdohtdXJXlTdG50PjguADA6HZI0hExPAfQSam42Dp+&#10;MMLGATUIzSJSglZ5oJvcrZSCx89SgohE1xSZxnziI2jv0lls1qzaB+ZbxccW2HNaeMLJMGXx0QvU&#10;lkVGDkH9A2UUDw6cjDPuTDEQyYogi3n5RJv7lnmRuaDU4C+iw/+D5Z+OXwJRTU2vKbHM4MDPP3+c&#10;f/05//5OrpM8nYcKq+491sX+netxaaY4YDCx7mUw6Yt8COZR3NNFXNFHwjG4vHmzKBdLSjjmFvNy&#10;hTbCF4+3fYD4XjhDklHTgMPLmrLjR4hD6VSSHrPuTmmdB6gt6bCt5er1Mt+4pBBd21Qs8i6MOInS&#10;0HqyYr/rR54715yQpv5gUeK0LpMRJmM3GQcf1L7N+5Twwb89RGwo95lQByjklxwcXmY6Llrajr/9&#10;XPX4c20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nhkETWAAAABAEAAA8AAAAAAAAAAQAgAAAA&#10;IgAAAGRycy9kb3ducmV2LnhtbFBLAQIUABQAAAAIAIdO4kA+1LWm1AEAAKQDAAAOAAAAAAAAAAEA&#10;IAAAACUBAABkcnMvZTJvRG9jLnhtbFBLBQYAAAAABgAGAFkBAABrBQAAAAA=&#10;">
              <v:fill on="f" focussize="0,0"/>
              <v:stroke on="f" weight="1.25pt"/>
              <v:imagedata o:title=""/>
              <o:lock v:ext="edit" aspectratio="f"/>
              <v:textbox inset="0mm,0mm,0mm,0mm" style="mso-fit-shape-to-text:t;">
                <w:txbxContent>
                  <w:p>
                    <w:pPr>
                      <w:pStyle w:val="17"/>
                      <w:jc w:val="right"/>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7143"/>
      <w:docPartObj>
        <w:docPartGallery w:val="autotext"/>
      </w:docPartObj>
    </w:sdtPr>
    <w:sdtContent>
      <w:p>
        <w:pPr>
          <w:pStyle w:val="17"/>
          <w:ind w:firstLine="360"/>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016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40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7"/>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40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ascii="宋体" w:hAnsi="宋体" w:eastAsia="宋体"/>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none" w:color="auto" w:sz="0" w:space="0"/>
        <w:right w:val="none" w:color="auto" w:sz="0" w:space="0"/>
      </w:pBd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F4419"/>
    <w:multiLevelType w:val="multilevel"/>
    <w:tmpl w:val="040F4419"/>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A6413"/>
    <w:rsid w:val="00036AE3"/>
    <w:rsid w:val="00046C0A"/>
    <w:rsid w:val="000548DF"/>
    <w:rsid w:val="00062A8D"/>
    <w:rsid w:val="000A0710"/>
    <w:rsid w:val="000C3C9C"/>
    <w:rsid w:val="000D6C0C"/>
    <w:rsid w:val="000E476E"/>
    <w:rsid w:val="000F3F58"/>
    <w:rsid w:val="00120C99"/>
    <w:rsid w:val="00147F15"/>
    <w:rsid w:val="001561FF"/>
    <w:rsid w:val="001616E1"/>
    <w:rsid w:val="00167A2F"/>
    <w:rsid w:val="001978B8"/>
    <w:rsid w:val="001E5FB9"/>
    <w:rsid w:val="001E6C44"/>
    <w:rsid w:val="00203165"/>
    <w:rsid w:val="00207261"/>
    <w:rsid w:val="00210ACC"/>
    <w:rsid w:val="00210E90"/>
    <w:rsid w:val="00244024"/>
    <w:rsid w:val="002B1652"/>
    <w:rsid w:val="002D6325"/>
    <w:rsid w:val="002E1D4D"/>
    <w:rsid w:val="002F0E8F"/>
    <w:rsid w:val="00324E35"/>
    <w:rsid w:val="00337AB3"/>
    <w:rsid w:val="003475C1"/>
    <w:rsid w:val="00355D13"/>
    <w:rsid w:val="00381864"/>
    <w:rsid w:val="003852BA"/>
    <w:rsid w:val="00385312"/>
    <w:rsid w:val="003A14F1"/>
    <w:rsid w:val="003D34E9"/>
    <w:rsid w:val="003D42D7"/>
    <w:rsid w:val="003D5963"/>
    <w:rsid w:val="003F6AA7"/>
    <w:rsid w:val="0040048D"/>
    <w:rsid w:val="004063C9"/>
    <w:rsid w:val="00410AD4"/>
    <w:rsid w:val="00425F91"/>
    <w:rsid w:val="00451097"/>
    <w:rsid w:val="00452B8C"/>
    <w:rsid w:val="0049293B"/>
    <w:rsid w:val="004B379A"/>
    <w:rsid w:val="004B4A01"/>
    <w:rsid w:val="004C2D69"/>
    <w:rsid w:val="004C56F3"/>
    <w:rsid w:val="004E0B46"/>
    <w:rsid w:val="005011C7"/>
    <w:rsid w:val="005073F1"/>
    <w:rsid w:val="00530498"/>
    <w:rsid w:val="00575F08"/>
    <w:rsid w:val="00581220"/>
    <w:rsid w:val="00592990"/>
    <w:rsid w:val="005A27B1"/>
    <w:rsid w:val="005B2B5F"/>
    <w:rsid w:val="005B4043"/>
    <w:rsid w:val="005D0A3A"/>
    <w:rsid w:val="005E412C"/>
    <w:rsid w:val="005E67C0"/>
    <w:rsid w:val="005F5605"/>
    <w:rsid w:val="00631D23"/>
    <w:rsid w:val="006574FF"/>
    <w:rsid w:val="006743F7"/>
    <w:rsid w:val="006C6E90"/>
    <w:rsid w:val="006D27AC"/>
    <w:rsid w:val="006D7021"/>
    <w:rsid w:val="0070074A"/>
    <w:rsid w:val="00716FD4"/>
    <w:rsid w:val="00717F03"/>
    <w:rsid w:val="0072742E"/>
    <w:rsid w:val="00734DA9"/>
    <w:rsid w:val="00754C60"/>
    <w:rsid w:val="00761B2A"/>
    <w:rsid w:val="00774B75"/>
    <w:rsid w:val="00786CB5"/>
    <w:rsid w:val="00793B1B"/>
    <w:rsid w:val="007B4102"/>
    <w:rsid w:val="00831F20"/>
    <w:rsid w:val="00876FB3"/>
    <w:rsid w:val="00880828"/>
    <w:rsid w:val="008A5701"/>
    <w:rsid w:val="008D3111"/>
    <w:rsid w:val="008E34B3"/>
    <w:rsid w:val="008F18F4"/>
    <w:rsid w:val="008F32D9"/>
    <w:rsid w:val="00900176"/>
    <w:rsid w:val="00927C9C"/>
    <w:rsid w:val="00927EDB"/>
    <w:rsid w:val="0094496B"/>
    <w:rsid w:val="00974886"/>
    <w:rsid w:val="00985F82"/>
    <w:rsid w:val="00986EC7"/>
    <w:rsid w:val="00991BB0"/>
    <w:rsid w:val="00993E8A"/>
    <w:rsid w:val="009C31C2"/>
    <w:rsid w:val="009C528E"/>
    <w:rsid w:val="009F4123"/>
    <w:rsid w:val="00A3021B"/>
    <w:rsid w:val="00A4500E"/>
    <w:rsid w:val="00A60FDC"/>
    <w:rsid w:val="00A63C36"/>
    <w:rsid w:val="00A65B07"/>
    <w:rsid w:val="00A66955"/>
    <w:rsid w:val="00A67A5F"/>
    <w:rsid w:val="00A75C3E"/>
    <w:rsid w:val="00A84925"/>
    <w:rsid w:val="00A867BF"/>
    <w:rsid w:val="00A94967"/>
    <w:rsid w:val="00AA3D64"/>
    <w:rsid w:val="00AD5954"/>
    <w:rsid w:val="00AD7D31"/>
    <w:rsid w:val="00B00538"/>
    <w:rsid w:val="00B3399A"/>
    <w:rsid w:val="00B367B9"/>
    <w:rsid w:val="00B705B5"/>
    <w:rsid w:val="00B74E45"/>
    <w:rsid w:val="00B820D0"/>
    <w:rsid w:val="00B93595"/>
    <w:rsid w:val="00BA7859"/>
    <w:rsid w:val="00BC3BA2"/>
    <w:rsid w:val="00C13A7B"/>
    <w:rsid w:val="00C54DEC"/>
    <w:rsid w:val="00C54F67"/>
    <w:rsid w:val="00C70915"/>
    <w:rsid w:val="00C83754"/>
    <w:rsid w:val="00CC768C"/>
    <w:rsid w:val="00CC7A91"/>
    <w:rsid w:val="00CF72FE"/>
    <w:rsid w:val="00D2054C"/>
    <w:rsid w:val="00D2336A"/>
    <w:rsid w:val="00D956F4"/>
    <w:rsid w:val="00DE45BB"/>
    <w:rsid w:val="00DE6DED"/>
    <w:rsid w:val="00DF2C09"/>
    <w:rsid w:val="00DF690F"/>
    <w:rsid w:val="00E120ED"/>
    <w:rsid w:val="00E154F5"/>
    <w:rsid w:val="00E167AE"/>
    <w:rsid w:val="00E20A8F"/>
    <w:rsid w:val="00E32F7B"/>
    <w:rsid w:val="00E353DF"/>
    <w:rsid w:val="00E4117F"/>
    <w:rsid w:val="00E50A49"/>
    <w:rsid w:val="00E725B5"/>
    <w:rsid w:val="00E72CBD"/>
    <w:rsid w:val="00EC4232"/>
    <w:rsid w:val="00ED6905"/>
    <w:rsid w:val="00EE014B"/>
    <w:rsid w:val="00EF223C"/>
    <w:rsid w:val="00EF59DF"/>
    <w:rsid w:val="00EF63A2"/>
    <w:rsid w:val="00F05ADF"/>
    <w:rsid w:val="00F23950"/>
    <w:rsid w:val="00F30EC6"/>
    <w:rsid w:val="00F42412"/>
    <w:rsid w:val="00F926AB"/>
    <w:rsid w:val="00FB0F40"/>
    <w:rsid w:val="00FB26C8"/>
    <w:rsid w:val="00FC4964"/>
    <w:rsid w:val="00FD3F9F"/>
    <w:rsid w:val="00FD7473"/>
    <w:rsid w:val="013D12B3"/>
    <w:rsid w:val="016E2AED"/>
    <w:rsid w:val="01C721D1"/>
    <w:rsid w:val="02234DB9"/>
    <w:rsid w:val="023F6441"/>
    <w:rsid w:val="02EB3653"/>
    <w:rsid w:val="03A63C65"/>
    <w:rsid w:val="044B37B3"/>
    <w:rsid w:val="04893B3D"/>
    <w:rsid w:val="04B444EB"/>
    <w:rsid w:val="04BB078E"/>
    <w:rsid w:val="057957ED"/>
    <w:rsid w:val="06064907"/>
    <w:rsid w:val="064D6C80"/>
    <w:rsid w:val="07AC23A3"/>
    <w:rsid w:val="082D0268"/>
    <w:rsid w:val="082F35FA"/>
    <w:rsid w:val="08665534"/>
    <w:rsid w:val="08BF286B"/>
    <w:rsid w:val="09B63BA8"/>
    <w:rsid w:val="0A89633C"/>
    <w:rsid w:val="0A9B2B77"/>
    <w:rsid w:val="0AB67CC6"/>
    <w:rsid w:val="0ABF6EC0"/>
    <w:rsid w:val="0B8C4C3D"/>
    <w:rsid w:val="0BCB2B32"/>
    <w:rsid w:val="0C4B7371"/>
    <w:rsid w:val="0CC742DF"/>
    <w:rsid w:val="0CF92889"/>
    <w:rsid w:val="0D5F7971"/>
    <w:rsid w:val="0D6020FB"/>
    <w:rsid w:val="0DF21BE4"/>
    <w:rsid w:val="0FBB51CF"/>
    <w:rsid w:val="10A11BCB"/>
    <w:rsid w:val="11B3592C"/>
    <w:rsid w:val="11C56091"/>
    <w:rsid w:val="11CD2164"/>
    <w:rsid w:val="120F4567"/>
    <w:rsid w:val="12FC5D5E"/>
    <w:rsid w:val="14381F06"/>
    <w:rsid w:val="1523788F"/>
    <w:rsid w:val="15D37805"/>
    <w:rsid w:val="15FE1BC5"/>
    <w:rsid w:val="178E1141"/>
    <w:rsid w:val="18970F2F"/>
    <w:rsid w:val="189D455D"/>
    <w:rsid w:val="18A662E3"/>
    <w:rsid w:val="19064F97"/>
    <w:rsid w:val="199F4585"/>
    <w:rsid w:val="19FB472A"/>
    <w:rsid w:val="1A4F7809"/>
    <w:rsid w:val="1A90269C"/>
    <w:rsid w:val="1BE32187"/>
    <w:rsid w:val="1C0C240C"/>
    <w:rsid w:val="1C49651B"/>
    <w:rsid w:val="1C97596B"/>
    <w:rsid w:val="1CE46251"/>
    <w:rsid w:val="1D565651"/>
    <w:rsid w:val="1DCE4293"/>
    <w:rsid w:val="1DDF510B"/>
    <w:rsid w:val="1E600FDE"/>
    <w:rsid w:val="1FEF69D4"/>
    <w:rsid w:val="20485951"/>
    <w:rsid w:val="20A9230F"/>
    <w:rsid w:val="212470F3"/>
    <w:rsid w:val="220B3D2E"/>
    <w:rsid w:val="22B77441"/>
    <w:rsid w:val="230A10AD"/>
    <w:rsid w:val="23663493"/>
    <w:rsid w:val="23AC0082"/>
    <w:rsid w:val="23AC12EC"/>
    <w:rsid w:val="23FF25E7"/>
    <w:rsid w:val="24705F10"/>
    <w:rsid w:val="24A06207"/>
    <w:rsid w:val="24AC3C0D"/>
    <w:rsid w:val="24C311E0"/>
    <w:rsid w:val="24F76187"/>
    <w:rsid w:val="255D0401"/>
    <w:rsid w:val="25D30838"/>
    <w:rsid w:val="2678014B"/>
    <w:rsid w:val="276516A6"/>
    <w:rsid w:val="28240C3C"/>
    <w:rsid w:val="28480FE1"/>
    <w:rsid w:val="28525614"/>
    <w:rsid w:val="28571B02"/>
    <w:rsid w:val="2A28329D"/>
    <w:rsid w:val="2AA77DA4"/>
    <w:rsid w:val="2AC333D8"/>
    <w:rsid w:val="2AE17885"/>
    <w:rsid w:val="2B2060DE"/>
    <w:rsid w:val="2B9E3B1D"/>
    <w:rsid w:val="2C655F85"/>
    <w:rsid w:val="2C7F6040"/>
    <w:rsid w:val="2CC60692"/>
    <w:rsid w:val="2D7461A7"/>
    <w:rsid w:val="2DEB318F"/>
    <w:rsid w:val="2E404AEF"/>
    <w:rsid w:val="2EEC2A96"/>
    <w:rsid w:val="303249A2"/>
    <w:rsid w:val="30737E3C"/>
    <w:rsid w:val="30D33883"/>
    <w:rsid w:val="30FD7A86"/>
    <w:rsid w:val="311A78C7"/>
    <w:rsid w:val="313D3921"/>
    <w:rsid w:val="31516C05"/>
    <w:rsid w:val="31682BAB"/>
    <w:rsid w:val="319A183C"/>
    <w:rsid w:val="31B82E96"/>
    <w:rsid w:val="326F758F"/>
    <w:rsid w:val="32755ACF"/>
    <w:rsid w:val="327A3948"/>
    <w:rsid w:val="327B7C6E"/>
    <w:rsid w:val="32EB6326"/>
    <w:rsid w:val="331F15F7"/>
    <w:rsid w:val="33394EF2"/>
    <w:rsid w:val="334C5681"/>
    <w:rsid w:val="33700E2D"/>
    <w:rsid w:val="33E159AA"/>
    <w:rsid w:val="33E62C68"/>
    <w:rsid w:val="34272A90"/>
    <w:rsid w:val="345522EB"/>
    <w:rsid w:val="34B114D0"/>
    <w:rsid w:val="34C118D8"/>
    <w:rsid w:val="35590D7C"/>
    <w:rsid w:val="35F525A4"/>
    <w:rsid w:val="3672706A"/>
    <w:rsid w:val="367B632E"/>
    <w:rsid w:val="36A32D85"/>
    <w:rsid w:val="378A17D9"/>
    <w:rsid w:val="3799680A"/>
    <w:rsid w:val="37A82161"/>
    <w:rsid w:val="382E2C1A"/>
    <w:rsid w:val="386F7F4A"/>
    <w:rsid w:val="38BC1999"/>
    <w:rsid w:val="38C943BD"/>
    <w:rsid w:val="3925550E"/>
    <w:rsid w:val="398D51D8"/>
    <w:rsid w:val="39FF2400"/>
    <w:rsid w:val="3A941CE2"/>
    <w:rsid w:val="3AB61221"/>
    <w:rsid w:val="3B3F6CE2"/>
    <w:rsid w:val="3B9A1C8B"/>
    <w:rsid w:val="3C544551"/>
    <w:rsid w:val="3C674CC2"/>
    <w:rsid w:val="3C6D712C"/>
    <w:rsid w:val="3CAD7DD9"/>
    <w:rsid w:val="3D97471F"/>
    <w:rsid w:val="3DFD25AD"/>
    <w:rsid w:val="3F320F05"/>
    <w:rsid w:val="3F335BEE"/>
    <w:rsid w:val="3F376CB6"/>
    <w:rsid w:val="3FBD3692"/>
    <w:rsid w:val="404E471E"/>
    <w:rsid w:val="4085780A"/>
    <w:rsid w:val="40E361DD"/>
    <w:rsid w:val="410E47AD"/>
    <w:rsid w:val="41240AEC"/>
    <w:rsid w:val="41EC3033"/>
    <w:rsid w:val="42A31F5F"/>
    <w:rsid w:val="43416838"/>
    <w:rsid w:val="447278CF"/>
    <w:rsid w:val="44AF3071"/>
    <w:rsid w:val="451328E9"/>
    <w:rsid w:val="45621F46"/>
    <w:rsid w:val="45A13534"/>
    <w:rsid w:val="45D53DC5"/>
    <w:rsid w:val="4613384D"/>
    <w:rsid w:val="4663747E"/>
    <w:rsid w:val="469274EA"/>
    <w:rsid w:val="46980786"/>
    <w:rsid w:val="4740398E"/>
    <w:rsid w:val="47406F9F"/>
    <w:rsid w:val="47C2501D"/>
    <w:rsid w:val="47E672C8"/>
    <w:rsid w:val="48C16894"/>
    <w:rsid w:val="48D758DB"/>
    <w:rsid w:val="48F344C1"/>
    <w:rsid w:val="495228C7"/>
    <w:rsid w:val="496E79E1"/>
    <w:rsid w:val="4B340C7F"/>
    <w:rsid w:val="4B3A0ACB"/>
    <w:rsid w:val="4C2C68AF"/>
    <w:rsid w:val="4C69706F"/>
    <w:rsid w:val="4D461999"/>
    <w:rsid w:val="4D5F462E"/>
    <w:rsid w:val="4D612919"/>
    <w:rsid w:val="4DBD780F"/>
    <w:rsid w:val="4DC4632F"/>
    <w:rsid w:val="4DDD4ABD"/>
    <w:rsid w:val="4DE957EE"/>
    <w:rsid w:val="4E266205"/>
    <w:rsid w:val="4EA83DDF"/>
    <w:rsid w:val="4EBC5148"/>
    <w:rsid w:val="4EE81442"/>
    <w:rsid w:val="4EFB1AB6"/>
    <w:rsid w:val="4F6978BB"/>
    <w:rsid w:val="4F7B1A46"/>
    <w:rsid w:val="501B3C78"/>
    <w:rsid w:val="501D0034"/>
    <w:rsid w:val="50A6147E"/>
    <w:rsid w:val="50B278A3"/>
    <w:rsid w:val="50EF6DB5"/>
    <w:rsid w:val="52742A9F"/>
    <w:rsid w:val="529B2701"/>
    <w:rsid w:val="52D073DE"/>
    <w:rsid w:val="52EF02F2"/>
    <w:rsid w:val="533C16AF"/>
    <w:rsid w:val="54B8326C"/>
    <w:rsid w:val="55F1721C"/>
    <w:rsid w:val="561F382A"/>
    <w:rsid w:val="562C006D"/>
    <w:rsid w:val="565F02F2"/>
    <w:rsid w:val="57526B93"/>
    <w:rsid w:val="57C95EF8"/>
    <w:rsid w:val="586433EF"/>
    <w:rsid w:val="588357CB"/>
    <w:rsid w:val="58F41B35"/>
    <w:rsid w:val="592365A0"/>
    <w:rsid w:val="59CF72BB"/>
    <w:rsid w:val="59E80D42"/>
    <w:rsid w:val="59EF3DA1"/>
    <w:rsid w:val="5AC2101F"/>
    <w:rsid w:val="5B3F5881"/>
    <w:rsid w:val="5BAF2EF7"/>
    <w:rsid w:val="5C1B3886"/>
    <w:rsid w:val="5C44486C"/>
    <w:rsid w:val="5CE13510"/>
    <w:rsid w:val="5DBC6E3D"/>
    <w:rsid w:val="5DF76619"/>
    <w:rsid w:val="5E7054EA"/>
    <w:rsid w:val="5F640850"/>
    <w:rsid w:val="5F7D1928"/>
    <w:rsid w:val="605523FF"/>
    <w:rsid w:val="61960FBD"/>
    <w:rsid w:val="61B24BD6"/>
    <w:rsid w:val="621A03F0"/>
    <w:rsid w:val="62254C9A"/>
    <w:rsid w:val="62274A70"/>
    <w:rsid w:val="628E6FF8"/>
    <w:rsid w:val="62F127DD"/>
    <w:rsid w:val="637607F1"/>
    <w:rsid w:val="63A70085"/>
    <w:rsid w:val="63CA6624"/>
    <w:rsid w:val="641661A0"/>
    <w:rsid w:val="64384D4F"/>
    <w:rsid w:val="644446E7"/>
    <w:rsid w:val="6541527A"/>
    <w:rsid w:val="65B41AC6"/>
    <w:rsid w:val="66E42654"/>
    <w:rsid w:val="66F3551E"/>
    <w:rsid w:val="672354B2"/>
    <w:rsid w:val="67E172D3"/>
    <w:rsid w:val="686216A3"/>
    <w:rsid w:val="68BC3875"/>
    <w:rsid w:val="69417AA1"/>
    <w:rsid w:val="695E6BB2"/>
    <w:rsid w:val="69F66639"/>
    <w:rsid w:val="6A035A2F"/>
    <w:rsid w:val="6A2E6858"/>
    <w:rsid w:val="6A876B45"/>
    <w:rsid w:val="6AC10EA9"/>
    <w:rsid w:val="6B661EC9"/>
    <w:rsid w:val="6B84740B"/>
    <w:rsid w:val="6BA117F9"/>
    <w:rsid w:val="6C6D3249"/>
    <w:rsid w:val="6D10409F"/>
    <w:rsid w:val="6DA262EA"/>
    <w:rsid w:val="6DAE3E4B"/>
    <w:rsid w:val="6EB037ED"/>
    <w:rsid w:val="6FFA6413"/>
    <w:rsid w:val="70ED3745"/>
    <w:rsid w:val="71B30B1B"/>
    <w:rsid w:val="71F01051"/>
    <w:rsid w:val="72147307"/>
    <w:rsid w:val="721850CC"/>
    <w:rsid w:val="72361461"/>
    <w:rsid w:val="72702E7A"/>
    <w:rsid w:val="72713723"/>
    <w:rsid w:val="72A3286B"/>
    <w:rsid w:val="74245CFC"/>
    <w:rsid w:val="74AD392B"/>
    <w:rsid w:val="751C7390"/>
    <w:rsid w:val="75DD22E0"/>
    <w:rsid w:val="75EF42E5"/>
    <w:rsid w:val="768A4961"/>
    <w:rsid w:val="76AE1069"/>
    <w:rsid w:val="76E2187A"/>
    <w:rsid w:val="77D44873"/>
    <w:rsid w:val="783A747E"/>
    <w:rsid w:val="78A80403"/>
    <w:rsid w:val="78DF606C"/>
    <w:rsid w:val="7919244E"/>
    <w:rsid w:val="79822CAA"/>
    <w:rsid w:val="79AD1227"/>
    <w:rsid w:val="79D61930"/>
    <w:rsid w:val="7A8D4F5B"/>
    <w:rsid w:val="7AAC5529"/>
    <w:rsid w:val="7AB03552"/>
    <w:rsid w:val="7B5022DD"/>
    <w:rsid w:val="7BF35E65"/>
    <w:rsid w:val="7C2F0AEF"/>
    <w:rsid w:val="7C380F33"/>
    <w:rsid w:val="7C8D13AA"/>
    <w:rsid w:val="7D2D639F"/>
    <w:rsid w:val="7D5C74F8"/>
    <w:rsid w:val="7D7725B4"/>
    <w:rsid w:val="7D805F63"/>
    <w:rsid w:val="7E0612BA"/>
    <w:rsid w:val="7EDE31F8"/>
    <w:rsid w:val="7F15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124" w:firstLineChars="200"/>
      <w:jc w:val="both"/>
    </w:pPr>
    <w:rPr>
      <w:rFonts w:ascii="Calibri" w:hAnsi="Calibri" w:eastAsia="仿宋" w:cs="Times New Roman"/>
      <w:kern w:val="2"/>
      <w:sz w:val="28"/>
      <w:szCs w:val="24"/>
      <w:lang w:val="en-US" w:eastAsia="zh-CN" w:bidi="ar-SA"/>
    </w:rPr>
  </w:style>
  <w:style w:type="paragraph" w:styleId="3">
    <w:name w:val="heading 1"/>
    <w:basedOn w:val="1"/>
    <w:next w:val="1"/>
    <w:qFormat/>
    <w:uiPriority w:val="0"/>
    <w:pPr>
      <w:keepNext/>
      <w:keepLines/>
      <w:numPr>
        <w:ilvl w:val="0"/>
        <w:numId w:val="1"/>
      </w:numPr>
      <w:spacing w:line="576" w:lineRule="auto"/>
      <w:ind w:firstLineChars="0"/>
      <w:outlineLvl w:val="0"/>
    </w:pPr>
    <w:rPr>
      <w:b/>
      <w:kern w:val="44"/>
      <w:sz w:val="44"/>
    </w:rPr>
  </w:style>
  <w:style w:type="paragraph" w:styleId="4">
    <w:name w:val="heading 2"/>
    <w:basedOn w:val="1"/>
    <w:next w:val="1"/>
    <w:unhideWhenUsed/>
    <w:qFormat/>
    <w:uiPriority w:val="0"/>
    <w:pPr>
      <w:keepNext/>
      <w:keepLines/>
      <w:numPr>
        <w:ilvl w:val="1"/>
        <w:numId w:val="1"/>
      </w:numPr>
      <w:spacing w:line="413" w:lineRule="auto"/>
      <w:ind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13" w:lineRule="auto"/>
      <w:ind w:firstLine="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line="372" w:lineRule="auto"/>
      <w:ind w:firstLine="0" w:firstLineChars="0"/>
      <w:outlineLvl w:val="3"/>
    </w:pPr>
    <w:rPr>
      <w:rFonts w:ascii="Arial" w:hAnsi="Arial" w:eastAsia="黑体"/>
      <w:b/>
    </w:rPr>
  </w:style>
  <w:style w:type="paragraph" w:styleId="7">
    <w:name w:val="heading 5"/>
    <w:basedOn w:val="1"/>
    <w:next w:val="1"/>
    <w:semiHidden/>
    <w:unhideWhenUsed/>
    <w:qFormat/>
    <w:uiPriority w:val="0"/>
    <w:pPr>
      <w:keepNext/>
      <w:keepLines/>
      <w:numPr>
        <w:ilvl w:val="4"/>
        <w:numId w:val="1"/>
      </w:numPr>
      <w:spacing w:line="372" w:lineRule="auto"/>
      <w:ind w:firstLine="0" w:firstLineChars="0"/>
      <w:outlineLvl w:val="4"/>
    </w:pPr>
    <w:rPr>
      <w:b/>
    </w:rPr>
  </w:style>
  <w:style w:type="paragraph" w:styleId="8">
    <w:name w:val="heading 6"/>
    <w:basedOn w:val="1"/>
    <w:next w:val="1"/>
    <w:semiHidden/>
    <w:unhideWhenUsed/>
    <w:qFormat/>
    <w:uiPriority w:val="0"/>
    <w:pPr>
      <w:keepNext/>
      <w:keepLines/>
      <w:numPr>
        <w:ilvl w:val="5"/>
        <w:numId w:val="1"/>
      </w:numPr>
      <w:spacing w:line="317" w:lineRule="auto"/>
      <w:ind w:firstLine="0"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line="317" w:lineRule="auto"/>
      <w:ind w:firstLine="0"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line="317" w:lineRule="auto"/>
      <w:ind w:firstLine="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line="317" w:lineRule="auto"/>
      <w:ind w:firstLine="0" w:firstLineChars="0"/>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kern w:val="2"/>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12">
    <w:name w:val="Normal Indent"/>
    <w:basedOn w:val="1"/>
    <w:qFormat/>
    <w:uiPriority w:val="99"/>
    <w:pPr>
      <w:ind w:firstLine="420"/>
    </w:pPr>
  </w:style>
  <w:style w:type="paragraph" w:styleId="13">
    <w:name w:val="Body Text"/>
    <w:basedOn w:val="1"/>
    <w:qFormat/>
    <w:uiPriority w:val="0"/>
  </w:style>
  <w:style w:type="paragraph" w:styleId="14">
    <w:name w:val="Body Text Indent"/>
    <w:basedOn w:val="1"/>
    <w:qFormat/>
    <w:uiPriority w:val="0"/>
    <w:pPr>
      <w:spacing w:after="120"/>
      <w:ind w:left="420" w:leftChars="200"/>
    </w:pPr>
  </w:style>
  <w:style w:type="paragraph" w:styleId="15">
    <w:name w:val="toc 3"/>
    <w:basedOn w:val="1"/>
    <w:next w:val="1"/>
    <w:qFormat/>
    <w:uiPriority w:val="0"/>
    <w:pPr>
      <w:ind w:left="840" w:leftChars="400"/>
    </w:pPr>
  </w:style>
  <w:style w:type="paragraph" w:styleId="16">
    <w:name w:val="Balloon Text"/>
    <w:basedOn w:val="1"/>
    <w:link w:val="41"/>
    <w:qFormat/>
    <w:uiPriority w:val="0"/>
    <w:pPr>
      <w:spacing w:line="240" w:lineRule="auto"/>
    </w:pPr>
    <w:rPr>
      <w:sz w:val="18"/>
      <w:szCs w:val="18"/>
    </w:rPr>
  </w:style>
  <w:style w:type="paragraph" w:styleId="17">
    <w:name w:val="footer"/>
    <w:basedOn w:val="1"/>
    <w:link w:val="40"/>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99"/>
    <w:pPr>
      <w:spacing w:beforeAutospacing="1" w:afterAutospacing="1"/>
      <w:jc w:val="left"/>
    </w:pPr>
    <w:rPr>
      <w:kern w:val="0"/>
      <w:sz w:val="24"/>
    </w:rPr>
  </w:style>
  <w:style w:type="paragraph" w:styleId="22">
    <w:name w:val="Body Text First Indent 2"/>
    <w:basedOn w:val="14"/>
    <w:unhideWhenUsed/>
    <w:qFormat/>
    <w:uiPriority w:val="99"/>
    <w:pPr>
      <w:widowControl w:val="0"/>
      <w:overflowPunct/>
      <w:autoSpaceDE/>
      <w:autoSpaceDN/>
      <w:adjustRightInd/>
      <w:ind w:firstLine="420" w:firstLineChars="200"/>
    </w:pPr>
    <w:rPr>
      <w:kern w:val="2"/>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color w:val="000000"/>
      <w:u w:val="none"/>
    </w:rPr>
  </w:style>
  <w:style w:type="character" w:styleId="27">
    <w:name w:val="Emphasis"/>
    <w:basedOn w:val="25"/>
    <w:qFormat/>
    <w:uiPriority w:val="0"/>
  </w:style>
  <w:style w:type="character" w:styleId="28">
    <w:name w:val="HTML Definition"/>
    <w:basedOn w:val="25"/>
    <w:qFormat/>
    <w:uiPriority w:val="0"/>
  </w:style>
  <w:style w:type="character" w:styleId="29">
    <w:name w:val="HTML Acronym"/>
    <w:basedOn w:val="25"/>
    <w:qFormat/>
    <w:uiPriority w:val="0"/>
  </w:style>
  <w:style w:type="character" w:styleId="30">
    <w:name w:val="HTML Variable"/>
    <w:basedOn w:val="25"/>
    <w:qFormat/>
    <w:uiPriority w:val="0"/>
  </w:style>
  <w:style w:type="character" w:styleId="31">
    <w:name w:val="Hyperlink"/>
    <w:basedOn w:val="25"/>
    <w:qFormat/>
    <w:uiPriority w:val="0"/>
    <w:rPr>
      <w:color w:val="000000"/>
      <w:u w:val="none"/>
    </w:rPr>
  </w:style>
  <w:style w:type="character" w:styleId="32">
    <w:name w:val="HTML Code"/>
    <w:basedOn w:val="25"/>
    <w:qFormat/>
    <w:uiPriority w:val="0"/>
    <w:rPr>
      <w:rFonts w:ascii="Courier New" w:hAnsi="Courier New"/>
      <w:sz w:val="20"/>
    </w:rPr>
  </w:style>
  <w:style w:type="character" w:styleId="33">
    <w:name w:val="HTML Cite"/>
    <w:basedOn w:val="25"/>
    <w:qFormat/>
    <w:uiPriority w:val="0"/>
  </w:style>
  <w:style w:type="paragraph" w:customStyle="1" w:styleId="34">
    <w:name w:val="my正文"/>
    <w:basedOn w:val="1"/>
    <w:next w:val="1"/>
    <w:qFormat/>
    <w:uiPriority w:val="0"/>
    <w:pPr>
      <w:ind w:firstLine="480"/>
    </w:pPr>
    <w:rPr>
      <w:rFonts w:ascii="Times New Roman" w:hAnsi="Times New Roman"/>
    </w:rPr>
  </w:style>
  <w:style w:type="paragraph" w:customStyle="1" w:styleId="35">
    <w:name w:val="表格格式1"/>
    <w:basedOn w:val="1"/>
    <w:qFormat/>
    <w:uiPriority w:val="0"/>
    <w:pPr>
      <w:spacing w:line="240" w:lineRule="auto"/>
      <w:ind w:firstLine="0" w:firstLineChars="0"/>
    </w:pPr>
    <w:rPr>
      <w:sz w:val="20"/>
    </w:rPr>
  </w:style>
  <w:style w:type="paragraph" w:styleId="36">
    <w:name w:val="List Paragraph"/>
    <w:basedOn w:val="1"/>
    <w:qFormat/>
    <w:uiPriority w:val="34"/>
    <w:pPr>
      <w:ind w:firstLine="420"/>
    </w:pPr>
  </w:style>
  <w:style w:type="paragraph" w:customStyle="1" w:styleId="37">
    <w:name w:val="列出段落1"/>
    <w:basedOn w:val="1"/>
    <w:qFormat/>
    <w:uiPriority w:val="34"/>
    <w:pPr>
      <w:ind w:firstLine="420"/>
    </w:pPr>
  </w:style>
  <w:style w:type="paragraph" w:customStyle="1" w:styleId="38">
    <w:name w:val="此正文"/>
    <w:basedOn w:val="1"/>
    <w:qFormat/>
    <w:uiPriority w:val="0"/>
    <w:pPr>
      <w:ind w:firstLine="200"/>
    </w:pPr>
    <w:rPr>
      <w:sz w:val="24"/>
    </w:rPr>
  </w:style>
  <w:style w:type="paragraph" w:customStyle="1" w:styleId="39">
    <w:name w:val="标准文本"/>
    <w:basedOn w:val="1"/>
    <w:qFormat/>
    <w:uiPriority w:val="0"/>
    <w:pPr>
      <w:ind w:firstLine="480"/>
    </w:pPr>
    <w:rPr>
      <w:rFonts w:ascii="等线" w:hAnsi="等线" w:eastAsia="等线"/>
      <w:sz w:val="24"/>
    </w:rPr>
  </w:style>
  <w:style w:type="character" w:customStyle="1" w:styleId="40">
    <w:name w:val="页脚 Char"/>
    <w:basedOn w:val="25"/>
    <w:link w:val="17"/>
    <w:qFormat/>
    <w:uiPriority w:val="99"/>
    <w:rPr>
      <w:rFonts w:ascii="Calibri" w:hAnsi="Calibri" w:eastAsia="仿宋"/>
      <w:kern w:val="2"/>
      <w:sz w:val="18"/>
      <w:szCs w:val="24"/>
    </w:rPr>
  </w:style>
  <w:style w:type="character" w:customStyle="1" w:styleId="41">
    <w:name w:val="批注框文本 Char"/>
    <w:basedOn w:val="25"/>
    <w:link w:val="16"/>
    <w:qFormat/>
    <w:uiPriority w:val="0"/>
    <w:rPr>
      <w:rFonts w:ascii="Calibri" w:hAnsi="Calibri" w:eastAsia="仿宋"/>
      <w:kern w:val="2"/>
      <w:sz w:val="18"/>
      <w:szCs w:val="18"/>
    </w:rPr>
  </w:style>
  <w:style w:type="character" w:customStyle="1" w:styleId="42">
    <w:name w:val="ask-title"/>
    <w:basedOn w:val="25"/>
    <w:qFormat/>
    <w:uiPriority w:val="0"/>
  </w:style>
  <w:style w:type="character" w:customStyle="1" w:styleId="43">
    <w:name w:val="collect-text"/>
    <w:basedOn w:val="25"/>
    <w:qFormat/>
    <w:uiPriority w:val="0"/>
  </w:style>
  <w:style w:type="character" w:customStyle="1" w:styleId="44">
    <w:name w:val="vote-count"/>
    <w:basedOn w:val="25"/>
    <w:qFormat/>
    <w:uiPriority w:val="0"/>
  </w:style>
  <w:style w:type="character" w:customStyle="1" w:styleId="45">
    <w:name w:val="share-count"/>
    <w:basedOn w:val="25"/>
    <w:uiPriority w:val="0"/>
  </w:style>
  <w:style w:type="paragraph" w:customStyle="1" w:styleId="46">
    <w:name w:val="p0"/>
    <w:basedOn w:val="1"/>
    <w:qFormat/>
    <w:uiPriority w:val="0"/>
    <w:pPr>
      <w:widowControl/>
      <w:spacing w:line="240" w:lineRule="auto"/>
    </w:pPr>
    <w:rPr>
      <w:rFonts w:ascii="Calibri" w:hAnsi="Calibri"/>
      <w:kern w:val="0"/>
      <w:sz w:val="21"/>
      <w:szCs w:val="21"/>
    </w:rPr>
  </w:style>
  <w:style w:type="paragraph" w:customStyle="1" w:styleId="47">
    <w:name w:val="普通(网站) Ch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1144</Words>
  <Characters>6526</Characters>
  <Lines>54</Lines>
  <Paragraphs>15</Paragraphs>
  <TotalTime>5</TotalTime>
  <ScaleCrop>false</ScaleCrop>
  <LinksUpToDate>false</LinksUpToDate>
  <CharactersWithSpaces>7655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2019-12-13T08:34:00Z</dcterms:created>
  <dc:creator>鸿正·科技</dc:creator>
  <cp:lastModifiedBy>月亮</cp:lastModifiedBy>
  <cp:lastPrinted>2022-11-29T07:00:00Z</cp:lastPrinted>
  <dcterms:modified xsi:type="dcterms:W3CDTF">2022-12-05T06:24:41Z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1A696E8E5D6C4425ADE91B36C7B826EE</vt:lpwstr>
  </property>
</Properties>
</file>